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8C5AA14" w14:textId="77777777" w:rsidR="003D21FA" w:rsidRDefault="003D21FA" w:rsidP="003D21FA">
      <w:pPr>
        <w:pStyle w:val="1Headline"/>
      </w:pPr>
      <w:bookmarkStart w:id="0" w:name="_GoBack"/>
      <w:bookmarkEnd w:id="0"/>
      <w:r>
        <w:t>Inline-Ultraschall-</w:t>
      </w:r>
      <w:proofErr w:type="spellStart"/>
      <w:r>
        <w:t>Durchflussmessystem</w:t>
      </w:r>
      <w:proofErr w:type="spellEnd"/>
      <w:r>
        <w:t xml:space="preserve"> für Prozessgase </w:t>
      </w:r>
    </w:p>
    <w:p w14:paraId="621AA42B" w14:textId="5FC97698" w:rsidR="003D21FA" w:rsidRPr="007123B9" w:rsidRDefault="003D21FA" w:rsidP="003D21FA">
      <w:pPr>
        <w:pStyle w:val="2Subheadline"/>
        <w:rPr>
          <w:bCs/>
        </w:rPr>
      </w:pPr>
      <w:r>
        <w:t xml:space="preserve">Der </w:t>
      </w:r>
      <w:proofErr w:type="spellStart"/>
      <w:r>
        <w:t>Prosonic</w:t>
      </w:r>
      <w:proofErr w:type="spellEnd"/>
      <w:r>
        <w:t xml:space="preserve"> Flow G 300/500 ist h</w:t>
      </w:r>
      <w:r w:rsidRPr="007123B9">
        <w:t xml:space="preserve">ochgenau, </w:t>
      </w:r>
      <w:r>
        <w:t>r</w:t>
      </w:r>
      <w:r w:rsidRPr="007123B9">
        <w:t>obust</w:t>
      </w:r>
      <w:r>
        <w:t xml:space="preserve"> und w</w:t>
      </w:r>
      <w:r w:rsidRPr="007123B9">
        <w:t>artungsfrei</w:t>
      </w:r>
      <w:r w:rsidR="004E5382">
        <w:t xml:space="preserve">. Mit der </w:t>
      </w:r>
      <w:r w:rsidR="004859B2">
        <w:t>e</w:t>
      </w:r>
      <w:r w:rsidR="004E5382">
        <w:t xml:space="preserve">rweiterten Gasanalyse bietet er außerdem </w:t>
      </w:r>
      <w:r w:rsidR="00A044F5">
        <w:t xml:space="preserve">Funktionen zur </w:t>
      </w:r>
      <w:r w:rsidR="004859B2">
        <w:t>Inhaltsanalyse</w:t>
      </w:r>
      <w:r w:rsidR="00A044F5">
        <w:t xml:space="preserve"> von Gasgemischen.</w:t>
      </w:r>
      <w:r w:rsidRPr="007123B9">
        <w:t xml:space="preserve"> </w:t>
      </w:r>
    </w:p>
    <w:p w14:paraId="3318FCD5" w14:textId="76483D87" w:rsidR="003D21FA" w:rsidRDefault="003D21FA" w:rsidP="003D21FA">
      <w:pPr>
        <w:pStyle w:val="3Lead"/>
      </w:pPr>
      <w:r>
        <w:t xml:space="preserve">Das Ultraschall-Durchflussmessgerät </w:t>
      </w:r>
      <w:proofErr w:type="spellStart"/>
      <w:r>
        <w:t>Prosonic</w:t>
      </w:r>
      <w:proofErr w:type="spellEnd"/>
      <w:r>
        <w:t xml:space="preserve"> Flow G 300/500 mit integrierten Druck- und Temperatursensoren erfüllt alle Anforderungen an moderne Prozessmesstechnik </w:t>
      </w:r>
      <w:r w:rsidR="00C007D4">
        <w:t xml:space="preserve">sowohl bei der Gasmengenmessung als auch bei der Analyse von Gasen. </w:t>
      </w:r>
      <w:r w:rsidR="00700BD9">
        <w:t xml:space="preserve">Weil er </w:t>
      </w:r>
      <w:r w:rsidR="00FC41FA">
        <w:t>für</w:t>
      </w:r>
      <w:r w:rsidR="00C8376A">
        <w:t xml:space="preserve"> anspruchsvolle Prozessbedingungen </w:t>
      </w:r>
      <w:r w:rsidR="00FC41FA">
        <w:t>entwickelt wurde</w:t>
      </w:r>
      <w:r w:rsidR="00C8376A">
        <w:t xml:space="preserve"> ist, eignet er sich für Anwendungen in der </w:t>
      </w:r>
      <w:proofErr w:type="spellStart"/>
      <w:r w:rsidR="00C8376A">
        <w:t>Öl</w:t>
      </w:r>
      <w:r w:rsidR="00B25E1E">
        <w:t>&amp;</w:t>
      </w:r>
      <w:r w:rsidR="00C8376A">
        <w:t>Gas</w:t>
      </w:r>
      <w:proofErr w:type="spellEnd"/>
      <w:r w:rsidR="00C8376A">
        <w:t>-</w:t>
      </w:r>
      <w:r w:rsidR="00A44CC8">
        <w:t xml:space="preserve"> sowie in der chemischen Industrie. </w:t>
      </w:r>
    </w:p>
    <w:p w14:paraId="4C6D569C" w14:textId="76E257F1" w:rsidR="00C15E2E" w:rsidRPr="00C15E2E" w:rsidRDefault="00C15E2E" w:rsidP="003D21FA">
      <w:pPr>
        <w:pStyle w:val="3Lead"/>
        <w:rPr>
          <w:b w:val="0"/>
          <w:bCs/>
          <w:i/>
          <w:iCs/>
        </w:rPr>
      </w:pPr>
      <w:r w:rsidRPr="00C15E2E">
        <w:rPr>
          <w:b w:val="0"/>
          <w:bCs/>
          <w:i/>
          <w:iCs/>
        </w:rPr>
        <w:t xml:space="preserve">Autor: Daniel Winter, Produktmanager Durchflussmesstechnik, Endress+Hauser Messtechnik </w:t>
      </w:r>
      <w:proofErr w:type="spellStart"/>
      <w:r w:rsidRPr="00C15E2E">
        <w:rPr>
          <w:b w:val="0"/>
          <w:bCs/>
          <w:i/>
          <w:iCs/>
        </w:rPr>
        <w:t>GmbH+Co</w:t>
      </w:r>
      <w:proofErr w:type="spellEnd"/>
      <w:r w:rsidRPr="00C15E2E">
        <w:rPr>
          <w:b w:val="0"/>
          <w:bCs/>
          <w:i/>
          <w:iCs/>
        </w:rPr>
        <w:t>. KG</w:t>
      </w:r>
    </w:p>
    <w:p w14:paraId="60A850D7" w14:textId="651C196F" w:rsidR="003D21FA" w:rsidRDefault="009A18ED" w:rsidP="003D21FA">
      <w:r>
        <w:t xml:space="preserve">Sowohl </w:t>
      </w:r>
      <w:r w:rsidR="003D21FA" w:rsidRPr="009306AF">
        <w:t xml:space="preserve">als reiner Energieträger </w:t>
      </w:r>
      <w:r>
        <w:t>als auch</w:t>
      </w:r>
      <w:r w:rsidRPr="009306AF">
        <w:t xml:space="preserve"> </w:t>
      </w:r>
      <w:r w:rsidR="003D21FA" w:rsidRPr="009306AF">
        <w:t>zur Prozessoptimierung</w:t>
      </w:r>
      <w:r>
        <w:t xml:space="preserve"> </w:t>
      </w:r>
      <w:r w:rsidR="00231955">
        <w:t>kommt</w:t>
      </w:r>
      <w:r w:rsidR="003D21FA" w:rsidRPr="009306AF">
        <w:t xml:space="preserve"> Gase</w:t>
      </w:r>
      <w:r w:rsidR="00231955">
        <w:t>n</w:t>
      </w:r>
      <w:r w:rsidR="003D21FA" w:rsidRPr="009306AF">
        <w:t xml:space="preserve"> in allen Industrien </w:t>
      </w:r>
      <w:r w:rsidR="003D21FA">
        <w:t xml:space="preserve">eine </w:t>
      </w:r>
      <w:r w:rsidR="003D21FA" w:rsidRPr="009306AF">
        <w:t>immer größere Bedeutung</w:t>
      </w:r>
      <w:r w:rsidR="00231955">
        <w:t xml:space="preserve"> zu</w:t>
      </w:r>
      <w:r w:rsidR="003D21FA" w:rsidRPr="009306AF">
        <w:t xml:space="preserve">. </w:t>
      </w:r>
      <w:r w:rsidR="003D21FA">
        <w:t>Vom</w:t>
      </w:r>
      <w:r w:rsidR="003D21FA" w:rsidRPr="009306AF">
        <w:t xml:space="preserve"> Erdgas</w:t>
      </w:r>
      <w:r w:rsidR="003D21FA">
        <w:t xml:space="preserve"> über</w:t>
      </w:r>
      <w:r w:rsidR="003D21FA" w:rsidRPr="009306AF">
        <w:t xml:space="preserve"> Prozessgas</w:t>
      </w:r>
      <w:r w:rsidR="003D21FA">
        <w:t xml:space="preserve">, </w:t>
      </w:r>
      <w:r w:rsidR="003D21FA" w:rsidRPr="009306AF">
        <w:t>reine Gase oder Gasgemische</w:t>
      </w:r>
      <w:r w:rsidR="003D21FA">
        <w:t xml:space="preserve"> bis hin zum</w:t>
      </w:r>
      <w:r w:rsidR="003D21FA" w:rsidRPr="009306AF">
        <w:t xml:space="preserve"> Offshore- oder </w:t>
      </w:r>
      <w:proofErr w:type="spellStart"/>
      <w:r w:rsidR="003D21FA" w:rsidRPr="009306AF">
        <w:t>Onshore</w:t>
      </w:r>
      <w:proofErr w:type="spellEnd"/>
      <w:r w:rsidR="003D21FA" w:rsidRPr="009306AF">
        <w:t>-Bereich</w:t>
      </w:r>
      <w:r w:rsidR="003D21FA">
        <w:t xml:space="preserve"> </w:t>
      </w:r>
      <w:r w:rsidR="004E7D5E">
        <w:t>ist der</w:t>
      </w:r>
      <w:r w:rsidR="003D21FA" w:rsidRPr="009306AF">
        <w:t xml:space="preserve"> neue </w:t>
      </w:r>
      <w:proofErr w:type="spellStart"/>
      <w:r w:rsidR="003D21FA" w:rsidRPr="009306AF">
        <w:t>Prosonic</w:t>
      </w:r>
      <w:proofErr w:type="spellEnd"/>
      <w:r w:rsidR="003D21FA" w:rsidRPr="009306AF">
        <w:t xml:space="preserve"> Flow G von Endress+Hauser das ideale Durchflussmessgerät für anspruchsvolle Anwendungen.  </w:t>
      </w:r>
    </w:p>
    <w:p w14:paraId="075A9865" w14:textId="771B5266" w:rsidR="003D21FA" w:rsidRDefault="003D21FA" w:rsidP="003D21FA">
      <w:r w:rsidRPr="009306AF">
        <w:t xml:space="preserve">Das Anwendungsspektrum ist vielfältig: </w:t>
      </w:r>
      <w:r>
        <w:t>V</w:t>
      </w:r>
      <w:r w:rsidRPr="009306AF">
        <w:t xml:space="preserve">erbrauchsmessungen von Brennern, </w:t>
      </w:r>
      <w:r w:rsidR="0028494E">
        <w:t xml:space="preserve">Messung von </w:t>
      </w:r>
      <w:r w:rsidRPr="009306AF">
        <w:t>Abgase</w:t>
      </w:r>
      <w:r w:rsidR="00C859B6">
        <w:t>n</w:t>
      </w:r>
      <w:r w:rsidRPr="009306AF">
        <w:t xml:space="preserve"> und Rauchgase</w:t>
      </w:r>
      <w:r w:rsidR="0028494E">
        <w:t>n</w:t>
      </w:r>
      <w:r w:rsidRPr="009306AF">
        <w:t>, Frischluft- oder Zufuhr von technischen Gasen, Kontrollmessung</w:t>
      </w:r>
      <w:r>
        <w:t>en</w:t>
      </w:r>
      <w:r w:rsidRPr="009306AF">
        <w:t xml:space="preserve"> von abrechnungsrelevanten Messtellen oder einfach als Ersatz von wa</w:t>
      </w:r>
      <w:r>
        <w:t>r</w:t>
      </w:r>
      <w:r w:rsidRPr="009306AF">
        <w:t>tungsintensiven mechanischen Zählern</w:t>
      </w:r>
      <w:r>
        <w:t xml:space="preserve"> in der Brenngasmessung</w:t>
      </w:r>
      <w:r w:rsidRPr="009306AF">
        <w:t>.</w:t>
      </w:r>
      <w:r w:rsidR="008603BB">
        <w:t xml:space="preserve"> </w:t>
      </w:r>
      <w:r>
        <w:t>Das Gerät</w:t>
      </w:r>
      <w:r w:rsidRPr="009306AF">
        <w:t xml:space="preserve"> </w:t>
      </w:r>
      <w:r>
        <w:t xml:space="preserve">vereint </w:t>
      </w:r>
      <w:r w:rsidRPr="009306AF">
        <w:t xml:space="preserve">praxisbewährte Ultraschall-Durchflussmesstechnik </w:t>
      </w:r>
      <w:r>
        <w:t>und</w:t>
      </w:r>
      <w:r w:rsidRPr="009306AF">
        <w:t xml:space="preserve"> jahrzehntelange Erfahrung in der Prozessmesstechnik. Dank seiner </w:t>
      </w:r>
      <w:r>
        <w:t xml:space="preserve">optional erhältlichen </w:t>
      </w:r>
      <w:r w:rsidRPr="009306AF">
        <w:t>integrierten Druck- und Temperaturmessung sowie des vorhanden</w:t>
      </w:r>
      <w:r>
        <w:t>en</w:t>
      </w:r>
      <w:r w:rsidRPr="009306AF">
        <w:t xml:space="preserve"> Gasanalysepaketes biete</w:t>
      </w:r>
      <w:r>
        <w:t>t</w:t>
      </w:r>
      <w:r w:rsidRPr="009306AF">
        <w:t xml:space="preserve"> er </w:t>
      </w:r>
      <w:r>
        <w:t xml:space="preserve">auf eine kompakte Weise </w:t>
      </w:r>
      <w:r w:rsidRPr="009306AF">
        <w:t>hochgenaue Durchflusswerte und viele weitere Informationen über die Gaseigenschaften.</w:t>
      </w:r>
    </w:p>
    <w:p w14:paraId="2447F093" w14:textId="7EFDE38A" w:rsidR="003D21FA" w:rsidRPr="003D21FA" w:rsidRDefault="003D21FA" w:rsidP="003D21FA">
      <w:pPr>
        <w:pStyle w:val="5BodyTextBold"/>
      </w:pPr>
      <w:r>
        <w:t xml:space="preserve">Neues Sensor-Design </w:t>
      </w:r>
      <w:r w:rsidR="00E94B25">
        <w:t>erweitert Einsatzbereich</w:t>
      </w:r>
    </w:p>
    <w:p w14:paraId="76E4F750" w14:textId="77777777" w:rsidR="003D21FA" w:rsidRPr="003D21FA" w:rsidRDefault="003D21FA" w:rsidP="003D21FA">
      <w:r w:rsidRPr="003713F3">
        <w:t>Die Herausforderungen in modernen</w:t>
      </w:r>
      <w:r>
        <w:t xml:space="preserve"> </w:t>
      </w:r>
      <w:r w:rsidRPr="003713F3">
        <w:t>Industrieprozesse</w:t>
      </w:r>
      <w:r>
        <w:t>n</w:t>
      </w:r>
      <w:r w:rsidRPr="003713F3">
        <w:t xml:space="preserve"> werden</w:t>
      </w:r>
      <w:r>
        <w:t xml:space="preserve"> </w:t>
      </w:r>
      <w:r w:rsidRPr="003713F3">
        <w:t>für die Prozessmesstechnik</w:t>
      </w:r>
      <w:r>
        <w:t xml:space="preserve"> </w:t>
      </w:r>
      <w:r w:rsidRPr="003713F3">
        <w:t xml:space="preserve">immer </w:t>
      </w:r>
      <w:r>
        <w:t xml:space="preserve">größer. Höchste Genauigkeit und Sicherheit, hohe Prozesstemperaturen und Prozessdrücke, hohe Langzeitstabilität und eine einfache Installation sowie Inbetriebnahme und eine nahtlose Systemintegration sind nur einige der geforderten Eigenschaften. Der neue </w:t>
      </w:r>
      <w:proofErr w:type="spellStart"/>
      <w:r>
        <w:t>Prosonic</w:t>
      </w:r>
      <w:proofErr w:type="spellEnd"/>
      <w:r>
        <w:t xml:space="preserve"> Flow G erfüllt alle diese Ansprüche mit Bravour. </w:t>
      </w:r>
    </w:p>
    <w:p w14:paraId="48F0B5F1" w14:textId="5479E276" w:rsidR="003D21FA" w:rsidRPr="003713F3" w:rsidRDefault="003D21FA" w:rsidP="003D21FA">
      <w:r>
        <w:t xml:space="preserve">Im Vergleich zu anderen Gasmesssystemen misst der </w:t>
      </w:r>
      <w:proofErr w:type="spellStart"/>
      <w:r>
        <w:t>Prosonic</w:t>
      </w:r>
      <w:proofErr w:type="spellEnd"/>
      <w:r>
        <w:t xml:space="preserve"> Flow G 300/500 in den Nennweiten DN25…</w:t>
      </w:r>
      <w:r w:rsidR="00FE59D6">
        <w:t>DN</w:t>
      </w:r>
      <w:r>
        <w:t xml:space="preserve">300 </w:t>
      </w:r>
      <w:r w:rsidR="007F68CB">
        <w:t xml:space="preserve">ohne Druckverlust, </w:t>
      </w:r>
      <w:r w:rsidR="001A7FA6">
        <w:t xml:space="preserve">außerdem liefert er </w:t>
      </w:r>
      <w:r>
        <w:t>unter allen Applikationsbedingungen</w:t>
      </w:r>
      <w:r w:rsidR="001A7FA6">
        <w:t xml:space="preserve"> Messwerte</w:t>
      </w:r>
      <w:r>
        <w:t xml:space="preserve"> </w:t>
      </w:r>
      <w:r>
        <w:lastRenderedPageBreak/>
        <w:t>mit hoher Genauigkeit und Reproduzierbarkeit. Feuchtes Gas, geringer Prozessdruck, kleine Fließgeschwindigkeiten sowie schnell wechselnde Prozessbedingungen meistert er ohne Probleme</w:t>
      </w:r>
      <w:r w:rsidRPr="001D2C0A">
        <w:t xml:space="preserve">. Als Komplettmessstelle entfällt die zusätzliche externe Instrumentierung von Druck- und Temperatursensoren </w:t>
      </w:r>
      <w:r>
        <w:t xml:space="preserve">und die Installation eines Durchflussrechners. Somit reduziert sich der Installationsaufwand auf ein Minimum. </w:t>
      </w:r>
    </w:p>
    <w:p w14:paraId="51CC8D46" w14:textId="62F1A148" w:rsidR="00703503" w:rsidRDefault="0015640F" w:rsidP="003D21FA">
      <w:r>
        <w:t xml:space="preserve">Der </w:t>
      </w:r>
      <w:proofErr w:type="spellStart"/>
      <w:r w:rsidR="003D21FA">
        <w:t>Prosonic</w:t>
      </w:r>
      <w:proofErr w:type="spellEnd"/>
      <w:r w:rsidR="003D21FA">
        <w:t xml:space="preserve"> Flow G 300/500 zeichnet sich durch sehr hohe Robustheit aus. Das Messrohr besteht aus rostfreiem Stahl (1.4404 (316, 316L)</w:t>
      </w:r>
      <w:r w:rsidR="003B692D">
        <w:t>)</w:t>
      </w:r>
      <w:r w:rsidR="003D21FA">
        <w:t xml:space="preserve">, die Ultraschallwandler aus Titan Grade 2. Diese Kombination entspricht den strengen Anforderungen von NACE MR0175/MR0103. Das Messsystem weist somit eine hohe Korrosionsbeständigkeit auf und eignet sich ideal für Anwendungen in der Öl-, Gas- oder </w:t>
      </w:r>
      <w:r w:rsidR="00441FB5">
        <w:t>chemischen Industrie</w:t>
      </w:r>
      <w:r w:rsidR="003D21FA">
        <w:t xml:space="preserve">. </w:t>
      </w:r>
    </w:p>
    <w:p w14:paraId="69B3C6B3" w14:textId="30DAB7DE" w:rsidR="00703503" w:rsidRDefault="003D21FA" w:rsidP="003D21FA">
      <w:proofErr w:type="spellStart"/>
      <w:r>
        <w:t>Prosonic</w:t>
      </w:r>
      <w:proofErr w:type="spellEnd"/>
      <w:r>
        <w:t xml:space="preserve"> Flow G kann bei einem Prozessdruck von bis zu 100 bar und einer Prozesstemperatur bis zu 150°C eingesetzt werden. Zusätzliche Sicherheit bietet eine fest eingebaute Berstscheibe. Sie verhindert, dass im Falle einer Undichtigkeit bei der Durchführung zur Auswerteelektronik Gas ins </w:t>
      </w:r>
      <w:proofErr w:type="spellStart"/>
      <w:r>
        <w:t>Umformergehäuse</w:t>
      </w:r>
      <w:proofErr w:type="spellEnd"/>
      <w:r>
        <w:t xml:space="preserve"> eindringen kann. Somit ist ein unkontrolliertes Bersten ausgeschlossen. Da die Gehäuseoberfläche des Messaufnehmers ebenfalls aus korrosionsbeständigem rostfreiem Stahl besteht, eignet sich </w:t>
      </w:r>
      <w:proofErr w:type="spellStart"/>
      <w:r>
        <w:t>Prosonic</w:t>
      </w:r>
      <w:proofErr w:type="spellEnd"/>
      <w:r>
        <w:t xml:space="preserve"> Flow G auch für raue Umgebungsbedingungen im Offshore- und </w:t>
      </w:r>
      <w:proofErr w:type="spellStart"/>
      <w:r>
        <w:t>Onshore</w:t>
      </w:r>
      <w:proofErr w:type="spellEnd"/>
      <w:r>
        <w:t xml:space="preserve">-Bereich. </w:t>
      </w:r>
    </w:p>
    <w:p w14:paraId="5580BE62" w14:textId="2BE29BC6" w:rsidR="003D21FA" w:rsidRDefault="003D21FA" w:rsidP="003D21FA">
      <w:r>
        <w:t xml:space="preserve">Hohe Präzision bietet </w:t>
      </w:r>
      <w:proofErr w:type="spellStart"/>
      <w:r>
        <w:t>Prosonic</w:t>
      </w:r>
      <w:proofErr w:type="spellEnd"/>
      <w:r>
        <w:t xml:space="preserve"> Flow G zudem bei der Messung von feuchten oder nassen Gasen. Das innovative Sensorkonzept verfügt über ein spezielles Drainagesystem, welches Kondensat im Bereich des </w:t>
      </w:r>
      <w:proofErr w:type="spellStart"/>
      <w:r>
        <w:t>Wandlerstutzens</w:t>
      </w:r>
      <w:proofErr w:type="spellEnd"/>
      <w:r>
        <w:t xml:space="preserve"> sofort um die </w:t>
      </w:r>
      <w:proofErr w:type="spellStart"/>
      <w:r>
        <w:t>Wandleroberfläche</w:t>
      </w:r>
      <w:proofErr w:type="spellEnd"/>
      <w:r>
        <w:t xml:space="preserve"> leitet. Somit hat Kondensat keine Auswirkungen auf die Signalstärke</w:t>
      </w:r>
      <w:r w:rsidR="00DB144F">
        <w:t xml:space="preserve"> des Ultr</w:t>
      </w:r>
      <w:r w:rsidR="00743F6D">
        <w:t>a</w:t>
      </w:r>
      <w:r w:rsidR="00DB144F">
        <w:t>schallsignals</w:t>
      </w:r>
      <w:r>
        <w:t xml:space="preserve">. Die </w:t>
      </w:r>
      <w:r w:rsidR="00743F6D">
        <w:t xml:space="preserve">Messung </w:t>
      </w:r>
      <w:r>
        <w:t xml:space="preserve">bleibt somit unbeeinträchtigt und </w:t>
      </w:r>
      <w:r w:rsidR="0085691E">
        <w:t xml:space="preserve">die Messwerte bleiben auch bei nassen Gasen </w:t>
      </w:r>
      <w:r w:rsidR="001D586C">
        <w:t xml:space="preserve">sehr genau. </w:t>
      </w:r>
    </w:p>
    <w:p w14:paraId="4EC24EE2" w14:textId="18D56D01" w:rsidR="00801DA9" w:rsidRPr="005643E0" w:rsidRDefault="00801DA9" w:rsidP="00801DA9">
      <w:pPr>
        <w:rPr>
          <w:lang w:val="de-CH"/>
        </w:rPr>
      </w:pPr>
      <w:r w:rsidRPr="0013370F">
        <w:t>Während die Ultraschalltechnik für die Messung von „unsauberen“</w:t>
      </w:r>
      <w:r w:rsidR="00DF0FDC" w:rsidRPr="0013370F">
        <w:t xml:space="preserve"> Gasgemischen bisher aus technischen Gründen kaum zum Einsatz kommen konnte, soll sich dies mit dem </w:t>
      </w:r>
      <w:proofErr w:type="spellStart"/>
      <w:r w:rsidR="00DF0FDC" w:rsidRPr="0013370F">
        <w:t>Proline</w:t>
      </w:r>
      <w:proofErr w:type="spellEnd"/>
      <w:r w:rsidR="00DF0FDC" w:rsidRPr="0013370F">
        <w:t xml:space="preserve"> </w:t>
      </w:r>
      <w:proofErr w:type="spellStart"/>
      <w:r w:rsidR="00DF0FDC" w:rsidRPr="0013370F">
        <w:t>Prosonic</w:t>
      </w:r>
      <w:proofErr w:type="spellEnd"/>
      <w:r w:rsidR="00DF0FDC" w:rsidRPr="0013370F">
        <w:t xml:space="preserve"> Flow G </w:t>
      </w:r>
      <w:r w:rsidR="00251D94" w:rsidRPr="0013370F">
        <w:t xml:space="preserve">300/500 ändern. </w:t>
      </w:r>
      <w:r w:rsidRPr="0013370F">
        <w:rPr>
          <w:lang w:val="de-CH"/>
        </w:rPr>
        <w:t xml:space="preserve">Ein typisches Beispiel ist </w:t>
      </w:r>
      <w:r w:rsidR="00251D94" w:rsidRPr="0013370F">
        <w:rPr>
          <w:lang w:val="de-CH"/>
        </w:rPr>
        <w:t xml:space="preserve">z. B. </w:t>
      </w:r>
      <w:r w:rsidRPr="0013370F">
        <w:rPr>
          <w:lang w:val="de-CH"/>
        </w:rPr>
        <w:t xml:space="preserve">die Messung von Erdgas im Upstream-Bereich: Das Roherdgas enthält in der Regel einen hohen Flüssigkeitsanteil und auch Druck und Temperatur können erheblich schwanken. Ähnliche Herausforderungen finden sich bei weiteren Anwendungen des </w:t>
      </w:r>
      <w:proofErr w:type="spellStart"/>
      <w:r w:rsidRPr="0013370F">
        <w:rPr>
          <w:lang w:val="de-CH"/>
        </w:rPr>
        <w:t>Proline</w:t>
      </w:r>
      <w:proofErr w:type="spellEnd"/>
      <w:r w:rsidRPr="0013370F">
        <w:rPr>
          <w:lang w:val="de-CH"/>
        </w:rPr>
        <w:t xml:space="preserve"> </w:t>
      </w:r>
      <w:proofErr w:type="spellStart"/>
      <w:r w:rsidRPr="0013370F">
        <w:rPr>
          <w:lang w:val="de-CH"/>
        </w:rPr>
        <w:t>Prosonic</w:t>
      </w:r>
      <w:proofErr w:type="spellEnd"/>
      <w:r w:rsidRPr="0013370F">
        <w:rPr>
          <w:lang w:val="de-CH"/>
        </w:rPr>
        <w:t xml:space="preserve"> Flow G 300/500 wie bei Messungen an Auslässen von unterirdischen Gasspeichern oder LNG-</w:t>
      </w:r>
      <w:proofErr w:type="spellStart"/>
      <w:r w:rsidRPr="0013370F">
        <w:rPr>
          <w:lang w:val="de-CH"/>
        </w:rPr>
        <w:t>Regasifizierungsanlagen</w:t>
      </w:r>
      <w:proofErr w:type="spellEnd"/>
      <w:r w:rsidRPr="0013370F">
        <w:rPr>
          <w:lang w:val="de-CH"/>
        </w:rPr>
        <w:t xml:space="preserve"> sowie in chemischen und petrochemischen Prozessen. Genau dieses Anwendungsspektrum hat Endress+Hauser im Fokus: „Das neue Messgerät ist unser Türöffner auch für die Öl- und Gasbranche“, sagt </w:t>
      </w:r>
      <w:r w:rsidR="00251D94" w:rsidRPr="0013370F">
        <w:rPr>
          <w:lang w:val="de-CH"/>
        </w:rPr>
        <w:t xml:space="preserve">Dr. </w:t>
      </w:r>
      <w:r w:rsidRPr="0013370F">
        <w:rPr>
          <w:lang w:val="de-CH"/>
        </w:rPr>
        <w:t xml:space="preserve">Michal </w:t>
      </w:r>
      <w:proofErr w:type="spellStart"/>
      <w:r w:rsidRPr="0013370F">
        <w:rPr>
          <w:lang w:val="de-CH"/>
        </w:rPr>
        <w:t>Bezd</w:t>
      </w:r>
      <w:r w:rsidRPr="0013370F">
        <w:rPr>
          <w:rFonts w:ascii="Cambria" w:hAnsi="Cambria" w:cs="Cambria"/>
          <w:lang w:val="de-CH"/>
        </w:rPr>
        <w:t>ě</w:t>
      </w:r>
      <w:r w:rsidRPr="0013370F">
        <w:rPr>
          <w:lang w:val="de-CH"/>
        </w:rPr>
        <w:t>k</w:t>
      </w:r>
      <w:proofErr w:type="spellEnd"/>
      <w:r w:rsidR="00251D94" w:rsidRPr="0013370F">
        <w:rPr>
          <w:lang w:val="de-CH"/>
        </w:rPr>
        <w:t>, Projektleiter bei der Entwicklung des Messgeräts bei Endress+Hauser Flow, Reinach</w:t>
      </w:r>
      <w:r w:rsidRPr="0013370F">
        <w:rPr>
          <w:lang w:val="de-CH"/>
        </w:rPr>
        <w:t>.</w:t>
      </w:r>
      <w:r w:rsidRPr="005643E0">
        <w:rPr>
          <w:lang w:val="de-CH"/>
        </w:rPr>
        <w:t xml:space="preserve"> </w:t>
      </w:r>
    </w:p>
    <w:p w14:paraId="47149BA7" w14:textId="51B65964" w:rsidR="003D21FA" w:rsidRDefault="003D21FA" w:rsidP="003D21FA">
      <w:pPr>
        <w:pStyle w:val="5BodyTextBold"/>
      </w:pPr>
      <w:r w:rsidRPr="006C04A6">
        <w:t>Modernste Umformer</w:t>
      </w:r>
      <w:r>
        <w:t>-E</w:t>
      </w:r>
      <w:r w:rsidRPr="006C04A6">
        <w:t>lektroniken ergänzen das Konzept</w:t>
      </w:r>
    </w:p>
    <w:p w14:paraId="06D404D9" w14:textId="16169255" w:rsidR="00352332" w:rsidRDefault="00AE31D5" w:rsidP="003D21FA">
      <w:r>
        <w:t xml:space="preserve">Der </w:t>
      </w:r>
      <w:proofErr w:type="spellStart"/>
      <w:r w:rsidR="003D21FA">
        <w:t>Prosonic</w:t>
      </w:r>
      <w:proofErr w:type="spellEnd"/>
      <w:r w:rsidR="003D21FA">
        <w:t xml:space="preserve"> Flow G</w:t>
      </w:r>
      <w:r>
        <w:t xml:space="preserve"> ist</w:t>
      </w:r>
      <w:r w:rsidR="003D21FA">
        <w:t xml:space="preserve"> mit </w:t>
      </w:r>
      <w:r w:rsidR="004F74DB">
        <w:t>den Messumformer</w:t>
      </w:r>
      <w:r w:rsidR="0048006D">
        <w:t xml:space="preserve">-Elektroniken </w:t>
      </w:r>
      <w:proofErr w:type="spellStart"/>
      <w:r w:rsidR="003D21FA">
        <w:t>Proline</w:t>
      </w:r>
      <w:proofErr w:type="spellEnd"/>
      <w:r w:rsidR="003D21FA">
        <w:t xml:space="preserve"> 300 als kompakte Ausführung und </w:t>
      </w:r>
      <w:proofErr w:type="spellStart"/>
      <w:r w:rsidR="003D21FA">
        <w:t>Proline</w:t>
      </w:r>
      <w:proofErr w:type="spellEnd"/>
      <w:r w:rsidR="003D21FA">
        <w:t xml:space="preserve"> 500 als getrennte Ausführung kombinierbar. Sie verfügen mit bis zu 4 Schnittstellen zur Ein- bzw. Ausgabe der Messwerte. Auch b</w:t>
      </w:r>
      <w:r w:rsidR="003D21FA" w:rsidRPr="00EE2BF3">
        <w:t xml:space="preserve">ei </w:t>
      </w:r>
      <w:r w:rsidR="003D21FA">
        <w:t xml:space="preserve">der </w:t>
      </w:r>
      <w:r w:rsidR="003D21FA" w:rsidRPr="00EE2BF3">
        <w:t xml:space="preserve">Messleistung und Genauigkeit </w:t>
      </w:r>
      <w:r w:rsidR="003D21FA">
        <w:t xml:space="preserve">von bis zu +/- 0,5% </w:t>
      </w:r>
      <w:r>
        <w:t xml:space="preserve">v. </w:t>
      </w:r>
      <w:proofErr w:type="spellStart"/>
      <w:r>
        <w:t>M</w:t>
      </w:r>
      <w:r w:rsidR="000152A7">
        <w:t>w</w:t>
      </w:r>
      <w:proofErr w:type="spellEnd"/>
      <w:r>
        <w:t xml:space="preserve">. </w:t>
      </w:r>
      <w:r w:rsidR="003D21FA" w:rsidRPr="00EE2BF3">
        <w:t xml:space="preserve">machen die </w:t>
      </w:r>
      <w:proofErr w:type="spellStart"/>
      <w:r w:rsidR="003D21FA" w:rsidRPr="00EE2BF3">
        <w:t>Proline</w:t>
      </w:r>
      <w:proofErr w:type="spellEnd"/>
      <w:r w:rsidR="003D21FA" w:rsidRPr="00EE2BF3">
        <w:t xml:space="preserve"> Messumformer keine Kompromisse. </w:t>
      </w:r>
    </w:p>
    <w:p w14:paraId="7CA43EA4" w14:textId="05DD2ED4" w:rsidR="003D21FA" w:rsidRPr="00BC432A" w:rsidRDefault="003D21FA" w:rsidP="003D21FA">
      <w:r w:rsidRPr="00EE2BF3">
        <w:lastRenderedPageBreak/>
        <w:t xml:space="preserve">Die digitale Signalverarbeitung beginnt bereits im intelligenten Messaufnehmer und </w:t>
      </w:r>
      <w:r>
        <w:t>stellt</w:t>
      </w:r>
      <w:r w:rsidRPr="00EE2BF3">
        <w:t xml:space="preserve"> die Grundlage für eine echte multivariable Messung</w:t>
      </w:r>
      <w:r>
        <w:t xml:space="preserve"> dar</w:t>
      </w:r>
      <w:r w:rsidRPr="00EE2BF3">
        <w:t>. D</w:t>
      </w:r>
      <w:r>
        <w:t>as</w:t>
      </w:r>
      <w:r w:rsidRPr="00EE2BF3">
        <w:t xml:space="preserve"> bedeutet, dass </w:t>
      </w:r>
      <w:proofErr w:type="spellStart"/>
      <w:r w:rsidRPr="00EE2BF3">
        <w:t>Prosonic</w:t>
      </w:r>
      <w:proofErr w:type="spellEnd"/>
      <w:r w:rsidRPr="00EE2BF3">
        <w:t xml:space="preserve"> Flow G mehrere für die Prozesskontrolle wichtige Messgrößen wie Fließgeschwindigkeit, </w:t>
      </w:r>
      <w:r>
        <w:t>S</w:t>
      </w:r>
      <w:r w:rsidRPr="00EE2BF3">
        <w:t xml:space="preserve">challgeschwindigkeit, Druck oder Temperatur gleichzeitig erfassen und an ein Prozessleitsystem </w:t>
      </w:r>
      <w:r w:rsidR="00EF7263">
        <w:t>weitergeben</w:t>
      </w:r>
      <w:r w:rsidR="00EF7263" w:rsidRPr="00EE2BF3">
        <w:t xml:space="preserve"> </w:t>
      </w:r>
      <w:r w:rsidRPr="00EE2BF3">
        <w:t xml:space="preserve">kann. Ein vollständiger Zugriff auf alle Messdaten, einschließlich der durch Heartbeat Technology gewonnenen Diagnosedaten, ist jederzeit möglich – dank digitaler Datenübertragung </w:t>
      </w:r>
      <w:r>
        <w:t>mittels</w:t>
      </w:r>
      <w:r w:rsidRPr="00EE2BF3">
        <w:t xml:space="preserve"> HART</w:t>
      </w:r>
      <w:r w:rsidR="00552836">
        <w:t xml:space="preserve">, </w:t>
      </w:r>
      <w:r w:rsidRPr="00EE2BF3">
        <w:t>Modbus RS485</w:t>
      </w:r>
      <w:r w:rsidR="00B47310">
        <w:t>,</w:t>
      </w:r>
      <w:r w:rsidRPr="00EE2BF3">
        <w:t xml:space="preserve"> via WLAN oder über die frei kombinierbaren Ein- und Ausgänge.</w:t>
      </w:r>
    </w:p>
    <w:p w14:paraId="695E61DB" w14:textId="77777777" w:rsidR="003D21FA" w:rsidRPr="00977370" w:rsidRDefault="003D21FA" w:rsidP="003D21FA">
      <w:pPr>
        <w:pStyle w:val="5BodyTextBold"/>
      </w:pPr>
      <w:r w:rsidRPr="00977370">
        <w:t>Umfassende Prozess</w:t>
      </w:r>
      <w:r>
        <w:t xml:space="preserve">- und Qualitätsüberwachung </w:t>
      </w:r>
      <w:r w:rsidRPr="00977370">
        <w:t xml:space="preserve">dank </w:t>
      </w:r>
      <w:r>
        <w:t>integrierter</w:t>
      </w:r>
      <w:r w:rsidRPr="00977370">
        <w:t xml:space="preserve"> Gasanalyse </w:t>
      </w:r>
    </w:p>
    <w:p w14:paraId="64DD0219" w14:textId="5028EC8F" w:rsidR="003D21FA" w:rsidRPr="005211ED" w:rsidRDefault="003D21FA" w:rsidP="003D21FA">
      <w:proofErr w:type="spellStart"/>
      <w:r w:rsidRPr="005211ED">
        <w:t>Prosonic</w:t>
      </w:r>
      <w:proofErr w:type="spellEnd"/>
      <w:r w:rsidRPr="005211ED">
        <w:t xml:space="preserve"> Flow G 300/500 ist auch mit dem Funktionspaket „Erweiterte Gasanalyse“ lieferbar. In Kombination mit der optional verfügbare</w:t>
      </w:r>
      <w:r w:rsidR="006C07E6">
        <w:t>n</w:t>
      </w:r>
      <w:r w:rsidRPr="005211ED">
        <w:t xml:space="preserve"> integrierte</w:t>
      </w:r>
      <w:r w:rsidR="006C07E6">
        <w:t>n</w:t>
      </w:r>
      <w:r w:rsidRPr="005211ED">
        <w:t xml:space="preserve"> Druck- und Temperaturmessung ermöglicht </w:t>
      </w:r>
      <w:r>
        <w:t xml:space="preserve">dies </w:t>
      </w:r>
      <w:r w:rsidRPr="005211ED">
        <w:t xml:space="preserve">eine einfache Umrechnung in Masse oder Normvolumen. </w:t>
      </w:r>
      <w:r w:rsidR="00E5196D">
        <w:t xml:space="preserve">Zudem </w:t>
      </w:r>
      <w:r w:rsidRPr="005211ED">
        <w:t>w</w:t>
      </w:r>
      <w:r w:rsidR="008A1CF2">
        <w:t>erden</w:t>
      </w:r>
      <w:r w:rsidRPr="005211ED">
        <w:t xml:space="preserve"> </w:t>
      </w:r>
      <w:r w:rsidR="000546B4">
        <w:t xml:space="preserve">zusätzliche </w:t>
      </w:r>
      <w:r w:rsidR="000546B4" w:rsidRPr="00977370">
        <w:t>Prozessgrößen</w:t>
      </w:r>
      <w:r w:rsidR="000546B4" w:rsidRPr="005211ED" w:rsidDel="000546B4">
        <w:t xml:space="preserve"> </w:t>
      </w:r>
      <w:r w:rsidR="008A1CF2">
        <w:t xml:space="preserve">berechnet, die </w:t>
      </w:r>
      <w:r w:rsidR="00DD590C">
        <w:t>d</w:t>
      </w:r>
      <w:r w:rsidR="00713693">
        <w:t>as</w:t>
      </w:r>
      <w:r w:rsidR="00DD590C">
        <w:t xml:space="preserve"> aktuell gemessene Gasgemisch </w:t>
      </w:r>
      <w:r w:rsidR="00713693">
        <w:t>charakterisieren</w:t>
      </w:r>
      <w:r w:rsidRPr="005211ED">
        <w:t>.</w:t>
      </w:r>
      <w:r w:rsidR="00251D94">
        <w:t xml:space="preserve"> </w:t>
      </w:r>
      <w:r w:rsidR="00251D94" w:rsidRPr="002B4DA3">
        <w:rPr>
          <w:lang w:val="de-CH"/>
        </w:rPr>
        <w:t>„Diese Vielseitigkeit ist einzigartig auf dem Markt</w:t>
      </w:r>
      <w:r w:rsidR="00251D94" w:rsidRPr="002B4DA3">
        <w:t>“</w:t>
      </w:r>
      <w:r w:rsidR="00251D94" w:rsidRPr="002B4DA3">
        <w:rPr>
          <w:lang w:val="de-CH"/>
        </w:rPr>
        <w:t>, betont</w:t>
      </w:r>
      <w:r w:rsidR="00251D94" w:rsidRPr="002B4DA3">
        <w:rPr>
          <w:rFonts w:ascii="E+HSerif" w:hAnsi="E+HSerif"/>
          <w:lang w:val="de-CH"/>
        </w:rPr>
        <w:t xml:space="preserve"> </w:t>
      </w:r>
      <w:r w:rsidR="00251D94" w:rsidRPr="002B4DA3">
        <w:rPr>
          <w:lang w:val="de-CH"/>
        </w:rPr>
        <w:t xml:space="preserve">Michal </w:t>
      </w:r>
      <w:bookmarkStart w:id="1" w:name="_Hlk39743341"/>
      <w:proofErr w:type="spellStart"/>
      <w:r w:rsidR="00251D94" w:rsidRPr="002B4DA3">
        <w:rPr>
          <w:lang w:val="de-CH"/>
        </w:rPr>
        <w:t>Bezděk</w:t>
      </w:r>
      <w:bookmarkEnd w:id="1"/>
      <w:proofErr w:type="spellEnd"/>
      <w:r w:rsidR="00251D94" w:rsidRPr="002B4DA3">
        <w:rPr>
          <w:lang w:val="de-CH"/>
        </w:rPr>
        <w:t>.</w:t>
      </w:r>
    </w:p>
    <w:p w14:paraId="0DA6565F" w14:textId="7394BFC2" w:rsidR="003D21FA" w:rsidRPr="00977370" w:rsidRDefault="006916F1" w:rsidP="003D21FA">
      <w:r>
        <w:t xml:space="preserve">Neben </w:t>
      </w:r>
      <w:r w:rsidR="003D21FA" w:rsidRPr="00977370">
        <w:t>Volumenfluss, Normvolumenfluss, Massefluss</w:t>
      </w:r>
      <w:r>
        <w:t xml:space="preserve"> und</w:t>
      </w:r>
      <w:r w:rsidR="003D21FA" w:rsidRPr="00977370">
        <w:t xml:space="preserve"> Energiefluss</w:t>
      </w:r>
      <w:r w:rsidR="000A5FF0">
        <w:t xml:space="preserve"> </w:t>
      </w:r>
      <w:r w:rsidR="006F7676">
        <w:t xml:space="preserve">können </w:t>
      </w:r>
      <w:r w:rsidR="003D21FA" w:rsidRPr="00977370">
        <w:t xml:space="preserve">Brennwert, Wobbe-Index, </w:t>
      </w:r>
      <w:proofErr w:type="spellStart"/>
      <w:r w:rsidR="003D21FA" w:rsidRPr="00977370">
        <w:t>Mol</w:t>
      </w:r>
      <w:r w:rsidR="003D21FA">
        <w:t>m</w:t>
      </w:r>
      <w:r w:rsidR="003D21FA" w:rsidRPr="00977370">
        <w:t>asse</w:t>
      </w:r>
      <w:proofErr w:type="spellEnd"/>
      <w:r w:rsidR="003D21FA" w:rsidRPr="00977370">
        <w:t>, Methangehalt, Dichte oder Viskosität</w:t>
      </w:r>
      <w:r w:rsidR="006F7676">
        <w:t xml:space="preserve"> des Gas</w:t>
      </w:r>
      <w:r w:rsidR="00127040">
        <w:t>gemisch</w:t>
      </w:r>
      <w:r w:rsidR="006F7676">
        <w:t>es bestimmt werden</w:t>
      </w:r>
      <w:r w:rsidR="003D21FA" w:rsidRPr="00977370">
        <w:t>.</w:t>
      </w:r>
      <w:r w:rsidR="003D21FA">
        <w:t xml:space="preserve"> Für die Definition eines </w:t>
      </w:r>
      <w:r w:rsidR="000C1B4A">
        <w:t xml:space="preserve">bekannten </w:t>
      </w:r>
      <w:r w:rsidR="003D21FA">
        <w:t>Gasgemisches ist es möglich</w:t>
      </w:r>
      <w:r w:rsidR="002771CD">
        <w:t>,</w:t>
      </w:r>
      <w:r w:rsidR="003D21FA">
        <w:t xml:space="preserve"> bis zu 20 verschiedene Komponenten zu kombinieren.  Somit </w:t>
      </w:r>
      <w:r w:rsidR="000C1B4A">
        <w:t xml:space="preserve">können </w:t>
      </w:r>
      <w:r w:rsidR="003D21FA">
        <w:t>Mischgase punktgenau zusammen</w:t>
      </w:r>
      <w:r w:rsidR="006B37A0">
        <w:t>ge</w:t>
      </w:r>
      <w:r w:rsidR="003D21FA">
        <w:t>stell</w:t>
      </w:r>
      <w:r w:rsidR="006B37A0">
        <w:t>t werden</w:t>
      </w:r>
      <w:r w:rsidR="003D21FA">
        <w:t xml:space="preserve">. Bei Erdgasanwendungen basieren die Berechnungen auf </w:t>
      </w:r>
      <w:r w:rsidR="007471A0">
        <w:t>internationalen</w:t>
      </w:r>
      <w:r w:rsidR="003D21FA">
        <w:t xml:space="preserve"> Standards, wie zum Beispiel AGA NX-19</w:t>
      </w:r>
      <w:r w:rsidR="001C1436">
        <w:t>,</w:t>
      </w:r>
      <w:r w:rsidR="003D21FA">
        <w:t xml:space="preserve"> AGA</w:t>
      </w:r>
      <w:r w:rsidR="007471A0">
        <w:t>-</w:t>
      </w:r>
      <w:r w:rsidR="003D21FA">
        <w:t>8, AGA</w:t>
      </w:r>
      <w:r w:rsidR="007471A0">
        <w:t>-</w:t>
      </w:r>
      <w:r w:rsidR="003D21FA">
        <w:t xml:space="preserve">5 oder SGERG-88. </w:t>
      </w:r>
      <w:r w:rsidR="00344476">
        <w:t xml:space="preserve">Darüber hinaus </w:t>
      </w:r>
      <w:r w:rsidR="00791370">
        <w:t xml:space="preserve">stehen </w:t>
      </w:r>
      <w:r w:rsidR="0051513F">
        <w:t xml:space="preserve">einzigartige </w:t>
      </w:r>
      <w:r w:rsidR="005845DF">
        <w:t xml:space="preserve">Betriebsmodi zur Verfügung, die </w:t>
      </w:r>
      <w:r w:rsidR="007D2B6A">
        <w:t xml:space="preserve">eine Bestimmung der </w:t>
      </w:r>
      <w:r w:rsidR="000E3A98">
        <w:t>Gas</w:t>
      </w:r>
      <w:r w:rsidR="00FC5A9A">
        <w:t xml:space="preserve">eigenschaften </w:t>
      </w:r>
      <w:r w:rsidR="004D36CE">
        <w:t xml:space="preserve">diverser Erdgase und Biogase </w:t>
      </w:r>
      <w:r w:rsidR="00B46F5C">
        <w:t xml:space="preserve">auf Basis der gemessenen Schallgeschwindigkeit </w:t>
      </w:r>
      <w:r w:rsidR="005E2EBC">
        <w:t xml:space="preserve">ermöglichen, </w:t>
      </w:r>
      <w:r w:rsidR="00235A32">
        <w:t xml:space="preserve">und </w:t>
      </w:r>
      <w:r w:rsidR="003C7E5D">
        <w:t>zwar</w:t>
      </w:r>
      <w:r w:rsidR="00235A32">
        <w:t xml:space="preserve"> ohne</w:t>
      </w:r>
      <w:r w:rsidR="008734D6">
        <w:t xml:space="preserve"> die </w:t>
      </w:r>
      <w:r w:rsidR="0098239B">
        <w:t>Kenntnis der Gaszusammensetzung.</w:t>
      </w:r>
      <w:r w:rsidR="00235A32">
        <w:t xml:space="preserve"> </w:t>
      </w:r>
      <w:r w:rsidR="00743BB2">
        <w:t xml:space="preserve">Somit </w:t>
      </w:r>
      <w:r w:rsidR="00C85929">
        <w:t>gewährleistet</w:t>
      </w:r>
      <w:r w:rsidR="00743BB2">
        <w:t xml:space="preserve"> d</w:t>
      </w:r>
      <w:r w:rsidR="003D21FA">
        <w:t>ie integrierte Gasanalyse</w:t>
      </w:r>
      <w:r w:rsidR="003D21FA" w:rsidRPr="00977370">
        <w:t xml:space="preserve"> optimale Qualität und Sicherheit</w:t>
      </w:r>
      <w:r w:rsidR="003D21FA">
        <w:t xml:space="preserve"> im Prozess</w:t>
      </w:r>
      <w:r w:rsidR="003D21FA" w:rsidRPr="00977370">
        <w:t>.</w:t>
      </w:r>
      <w:r w:rsidR="003D21FA">
        <w:t xml:space="preserve"> </w:t>
      </w:r>
    </w:p>
    <w:p w14:paraId="235EEB25" w14:textId="77777777" w:rsidR="003D21FA" w:rsidRPr="00C00478" w:rsidRDefault="003D21FA" w:rsidP="003D21FA">
      <w:pPr>
        <w:pStyle w:val="5BodyTextBold"/>
      </w:pPr>
      <w:r w:rsidRPr="00C00478">
        <w:t xml:space="preserve">Prozesssicherheit rund um die Uhr </w:t>
      </w:r>
    </w:p>
    <w:p w14:paraId="0B6FA38A" w14:textId="0E683710" w:rsidR="003D21FA" w:rsidRDefault="003D21FA" w:rsidP="003D21FA">
      <w:proofErr w:type="spellStart"/>
      <w:r w:rsidRPr="007F499A">
        <w:t>Prosonic</w:t>
      </w:r>
      <w:proofErr w:type="spellEnd"/>
      <w:r w:rsidRPr="007F499A">
        <w:t xml:space="preserve"> Flow G wurde nach strengsten Qualitätsanforderungen gem</w:t>
      </w:r>
      <w:r w:rsidR="0007279F">
        <w:t>äß</w:t>
      </w:r>
      <w:r w:rsidRPr="007F499A">
        <w:t xml:space="preserve"> SIL-Norm IEC 61508 entwickelt. Dadurch ist sogar der Einsatz in </w:t>
      </w:r>
      <w:proofErr w:type="spellStart"/>
      <w:r w:rsidRPr="007F499A">
        <w:t>sicherheitsgerichteten</w:t>
      </w:r>
      <w:proofErr w:type="spellEnd"/>
      <w:r w:rsidRPr="007F499A">
        <w:t xml:space="preserve"> SIL</w:t>
      </w:r>
      <w:r w:rsidR="0007279F">
        <w:t>-</w:t>
      </w:r>
      <w:r w:rsidRPr="007F499A">
        <w:t>Applikationen möglich</w:t>
      </w:r>
      <w:r w:rsidRPr="007F499A">
        <w:rPr>
          <w:b/>
        </w:rPr>
        <w:t>.</w:t>
      </w:r>
      <w:r w:rsidRPr="007F499A">
        <w:t xml:space="preserve"> Das ist bei Inline-Ultraschallgaszählern einzigartig. Auftretende Geräte- oder Prozessfehler werden gemä</w:t>
      </w:r>
      <w:r w:rsidRPr="007F499A">
        <w:rPr>
          <w:rFonts w:ascii="Cambria" w:hAnsi="Cambria" w:cs="Cambria"/>
        </w:rPr>
        <w:t xml:space="preserve">ß </w:t>
      </w:r>
      <w:r w:rsidRPr="007F499A">
        <w:t xml:space="preserve">NAMUR NE107 eindeutig kategorisiert und sofort angezeigt. Dies </w:t>
      </w:r>
      <w:r w:rsidRPr="00C00478">
        <w:t>ermöglicht schnelle und gezielte Gegenmaßnahmen</w:t>
      </w:r>
      <w:r>
        <w:t xml:space="preserve">. </w:t>
      </w:r>
    </w:p>
    <w:p w14:paraId="70040F2F" w14:textId="77777777" w:rsidR="003D21FA" w:rsidRPr="007F2D7A" w:rsidRDefault="003D21FA" w:rsidP="003D21FA">
      <w:pPr>
        <w:pStyle w:val="5BodyTextBold"/>
      </w:pPr>
      <w:r w:rsidRPr="007F2D7A">
        <w:t>Heartbeat Technology</w:t>
      </w:r>
      <w:r>
        <w:t xml:space="preserve"> </w:t>
      </w:r>
      <w:r w:rsidRPr="007F2D7A">
        <w:t xml:space="preserve">für zuverlässige Messungen und höchste Betriebssicherheit </w:t>
      </w:r>
    </w:p>
    <w:p w14:paraId="66C76865" w14:textId="04BE1AAD" w:rsidR="003D21FA" w:rsidRPr="007F2D7A" w:rsidRDefault="003D21FA" w:rsidP="003D21FA">
      <w:r w:rsidRPr="007F2D7A">
        <w:t xml:space="preserve">Ein weiteres Highlight </w:t>
      </w:r>
      <w:r w:rsidR="004C4E95">
        <w:t xml:space="preserve">des </w:t>
      </w:r>
      <w:proofErr w:type="spellStart"/>
      <w:r w:rsidR="004C4E95">
        <w:t>Prosonic</w:t>
      </w:r>
      <w:proofErr w:type="spellEnd"/>
      <w:r w:rsidR="004C4E95">
        <w:t xml:space="preserve"> Flow G 300/500 </w:t>
      </w:r>
      <w:r w:rsidRPr="007F2D7A">
        <w:t>ist</w:t>
      </w:r>
      <w:r>
        <w:t xml:space="preserve"> die</w:t>
      </w:r>
      <w:r w:rsidRPr="007F2D7A">
        <w:t xml:space="preserve"> Heartbeat Technology. Diese in alle </w:t>
      </w:r>
      <w:proofErr w:type="spellStart"/>
      <w:r w:rsidRPr="007F2D7A">
        <w:t>Proline</w:t>
      </w:r>
      <w:proofErr w:type="spellEnd"/>
      <w:r w:rsidRPr="007F2D7A">
        <w:t xml:space="preserve"> Messgeräte integrierte Prüffunktion ermöglicht eine permanente Selbstdiagnose bei</w:t>
      </w:r>
      <w:r>
        <w:t>m</w:t>
      </w:r>
      <w:r w:rsidRPr="007F2D7A">
        <w:t xml:space="preserve"> h</w:t>
      </w:r>
      <w:r>
        <w:t>oher</w:t>
      </w:r>
      <w:r w:rsidRPr="007F2D7A">
        <w:t xml:space="preserve"> Diagnose-Deckungsgrad (&gt;95%) sowie eine TÜV-geprüfte, metrologisch rückführbare Geräteverifikation ohne Unterbrechung des Prozesses. All d</w:t>
      </w:r>
      <w:r>
        <w:t>as</w:t>
      </w:r>
      <w:r w:rsidRPr="007F2D7A">
        <w:t xml:space="preserve"> reduziert Komplexität und Risiken in einer Anlage</w:t>
      </w:r>
      <w:r>
        <w:t xml:space="preserve">, was wiederum </w:t>
      </w:r>
      <w:r w:rsidRPr="007F2D7A">
        <w:t>deren Zuverlässigkeit und Verfügbarkeit</w:t>
      </w:r>
      <w:r>
        <w:t xml:space="preserve"> erhöht</w:t>
      </w:r>
      <w:r w:rsidRPr="007F2D7A">
        <w:t xml:space="preserve">. </w:t>
      </w:r>
    </w:p>
    <w:p w14:paraId="225C356B" w14:textId="77777777" w:rsidR="003D21FA" w:rsidRPr="007F2D7A" w:rsidRDefault="003D21FA" w:rsidP="003D21FA">
      <w:pPr>
        <w:pStyle w:val="5BodyTextBold"/>
      </w:pPr>
      <w:r w:rsidRPr="007F2D7A">
        <w:t xml:space="preserve">Webserver – direkter Datenzugriff im Feld </w:t>
      </w:r>
    </w:p>
    <w:p w14:paraId="467A19AB" w14:textId="77777777" w:rsidR="003D21FA" w:rsidRPr="007F2D7A" w:rsidRDefault="003D21FA" w:rsidP="003D21FA">
      <w:r w:rsidRPr="007F2D7A">
        <w:t xml:space="preserve">Die </w:t>
      </w:r>
      <w:proofErr w:type="spellStart"/>
      <w:r w:rsidRPr="007F2D7A">
        <w:t>Proline</w:t>
      </w:r>
      <w:proofErr w:type="spellEnd"/>
      <w:r w:rsidRPr="007F2D7A">
        <w:t xml:space="preserve"> 300/500 Messumformer verfügen standardmäßig über einen Webserver. Mithilfe eines Standard-Ethernet-Kabels und eines Laptops – oder drahtlos via WLAN haben Anwender </w:t>
      </w:r>
      <w:r>
        <w:t>einen</w:t>
      </w:r>
      <w:r w:rsidRPr="007F2D7A">
        <w:t xml:space="preserve"> </w:t>
      </w:r>
      <w:r w:rsidRPr="007F2D7A">
        <w:lastRenderedPageBreak/>
        <w:t xml:space="preserve">direkten Zugriff auf alle Diagnose-, Konfigurations- und Gerätedaten ohne zusätzliche Soft- oder Hardware. Dies ermöglicht </w:t>
      </w:r>
      <w:r>
        <w:t xml:space="preserve">eine </w:t>
      </w:r>
      <w:r w:rsidRPr="007F2D7A">
        <w:t xml:space="preserve">einfache </w:t>
      </w:r>
      <w:r>
        <w:t xml:space="preserve">und intuitive </w:t>
      </w:r>
      <w:r w:rsidRPr="007F2D7A">
        <w:t xml:space="preserve">Inbetriebnahme sowie zeitsparende Wartungs- und Servicearbeiten. </w:t>
      </w:r>
    </w:p>
    <w:p w14:paraId="5206876C" w14:textId="77777777" w:rsidR="003D21FA" w:rsidRPr="007F2D7A" w:rsidRDefault="003D21FA" w:rsidP="003D21FA">
      <w:pPr>
        <w:pStyle w:val="5BodyTextBold"/>
      </w:pPr>
      <w:proofErr w:type="spellStart"/>
      <w:r w:rsidRPr="007F2D7A">
        <w:t>HistoROM</w:t>
      </w:r>
      <w:proofErr w:type="spellEnd"/>
      <w:r w:rsidRPr="007F2D7A">
        <w:t xml:space="preserve"> – einfach unvergesslich </w:t>
      </w:r>
    </w:p>
    <w:p w14:paraId="5F8622FC" w14:textId="77777777" w:rsidR="003D21FA" w:rsidRDefault="003D21FA" w:rsidP="003D21FA">
      <w:r w:rsidRPr="007F2D7A">
        <w:t xml:space="preserve">Das Datenspeicherkonzept </w:t>
      </w:r>
      <w:proofErr w:type="spellStart"/>
      <w:r w:rsidRPr="007F2D7A">
        <w:t>HistoROM</w:t>
      </w:r>
      <w:proofErr w:type="spellEnd"/>
      <w:r w:rsidRPr="007F2D7A">
        <w:t xml:space="preserve"> gewährleistet höchste Datensicherheit vor, während und nach einem Servicefall. Alle Kalibrierdaten und Geräteparameter sind sicher auf dem </w:t>
      </w:r>
      <w:proofErr w:type="spellStart"/>
      <w:r w:rsidRPr="007F2D7A">
        <w:t>HistoROM</w:t>
      </w:r>
      <w:proofErr w:type="spellEnd"/>
      <w:r w:rsidRPr="007F2D7A">
        <w:t xml:space="preserve">-Datenspeicher abgelegt und werden nach Wartungsarbeiten automatisch neu geladen. Dieses Konzept ermöglicht eine sichere und schnelle Instandsetzung. Fehler durch Inkompatibilitäten der Treiber oder Firmware mit Ersatzteilen, die die Wiederinbetriebnahme </w:t>
      </w:r>
      <w:r>
        <w:t xml:space="preserve">gestern noch </w:t>
      </w:r>
      <w:r w:rsidRPr="007F2D7A">
        <w:t>verzöger</w:t>
      </w:r>
      <w:r>
        <w:t>ten,</w:t>
      </w:r>
      <w:r w:rsidRPr="007F2D7A">
        <w:t xml:space="preserve"> </w:t>
      </w:r>
      <w:r>
        <w:t>sind heute ausgeschlossen</w:t>
      </w:r>
      <w:r w:rsidRPr="007F2D7A">
        <w:t xml:space="preserve">. </w:t>
      </w:r>
    </w:p>
    <w:p w14:paraId="09C5C1A5" w14:textId="77777777" w:rsidR="003D21FA" w:rsidRDefault="003D21FA" w:rsidP="003D21FA">
      <w:pPr>
        <w:pStyle w:val="Default"/>
        <w:rPr>
          <w:color w:val="auto"/>
        </w:rPr>
      </w:pPr>
    </w:p>
    <w:p w14:paraId="02A28121" w14:textId="77777777" w:rsidR="003D21FA" w:rsidRDefault="003D21FA" w:rsidP="003D21FA">
      <w:pPr>
        <w:pStyle w:val="Default"/>
        <w:rPr>
          <w:color w:val="auto"/>
        </w:rPr>
      </w:pPr>
      <w:r>
        <w:rPr>
          <w:noProof/>
        </w:rPr>
        <w:drawing>
          <wp:inline distT="0" distB="0" distL="0" distR="0" wp14:anchorId="46DFE092" wp14:editId="15B71B7B">
            <wp:extent cx="2067850" cy="1733384"/>
            <wp:effectExtent l="0" t="0" r="8890" b="63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082840" cy="1745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08C95" w14:textId="2C8D753B" w:rsidR="003D21FA" w:rsidRDefault="003D21FA" w:rsidP="003D21FA">
      <w:proofErr w:type="spellStart"/>
      <w:r>
        <w:t>Prosonic</w:t>
      </w:r>
      <w:proofErr w:type="spellEnd"/>
      <w:r>
        <w:t xml:space="preserve"> Flow G 300/500 in den Nennweiten DN 25 … 300 erfüllt alle Anforderungen der modernen Ultraschall-Inline Gasmengenmessung unter allen Prozessbedingungen mit Bravour</w:t>
      </w:r>
    </w:p>
    <w:p w14:paraId="023797CC" w14:textId="77777777" w:rsidR="003D21FA" w:rsidRDefault="003D21FA" w:rsidP="003D21FA">
      <w:pPr>
        <w:pStyle w:val="Default"/>
        <w:rPr>
          <w:color w:val="auto"/>
        </w:rPr>
      </w:pPr>
    </w:p>
    <w:p w14:paraId="29C71100" w14:textId="77777777" w:rsidR="003D21FA" w:rsidRDefault="003D21FA" w:rsidP="003D21FA">
      <w:pPr>
        <w:pStyle w:val="Default"/>
        <w:rPr>
          <w:color w:val="auto"/>
        </w:rPr>
      </w:pPr>
    </w:p>
    <w:p w14:paraId="54E40711" w14:textId="77777777" w:rsidR="003D21FA" w:rsidRDefault="003D21FA" w:rsidP="003D21FA">
      <w:pPr>
        <w:pStyle w:val="Default"/>
        <w:rPr>
          <w:color w:val="auto"/>
        </w:rPr>
      </w:pPr>
      <w:r>
        <w:rPr>
          <w:noProof/>
        </w:rPr>
        <w:drawing>
          <wp:inline distT="0" distB="0" distL="0" distR="0" wp14:anchorId="1D960B9F" wp14:editId="20488258">
            <wp:extent cx="1981128" cy="1423284"/>
            <wp:effectExtent l="0" t="0" r="635" b="5715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995515" cy="1433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EFEE64" w14:textId="77777777" w:rsidR="003D21FA" w:rsidRDefault="003D21FA" w:rsidP="003D21FA">
      <w:r>
        <w:t>Das integrierte Drainagesystem führt Kondensat am Ultraschallwandler vorbei und gewährleistet auch bei feuchtem Gas eine wartungsfreie und hochgenaue Durchflussmessung</w:t>
      </w:r>
    </w:p>
    <w:p w14:paraId="71995CA6" w14:textId="77777777" w:rsidR="003D21FA" w:rsidRDefault="003D21FA" w:rsidP="003D21FA">
      <w:pPr>
        <w:pStyle w:val="Default"/>
        <w:rPr>
          <w:color w:val="auto"/>
        </w:rPr>
      </w:pPr>
    </w:p>
    <w:p w14:paraId="238442D8" w14:textId="77777777" w:rsidR="003D21FA" w:rsidRDefault="003D21FA" w:rsidP="003D21FA">
      <w:pPr>
        <w:pStyle w:val="Default"/>
        <w:rPr>
          <w:color w:val="auto"/>
        </w:rPr>
      </w:pPr>
      <w:r>
        <w:rPr>
          <w:noProof/>
        </w:rPr>
        <w:lastRenderedPageBreak/>
        <w:drawing>
          <wp:inline distT="0" distB="0" distL="0" distR="0" wp14:anchorId="18BD2A8F" wp14:editId="2C167975">
            <wp:extent cx="1691987" cy="2003728"/>
            <wp:effectExtent l="0" t="0" r="3810" b="0"/>
            <wp:docPr id="8" name="Grafi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709519" cy="2024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0519BC" w14:textId="77777777" w:rsidR="003D21FA" w:rsidRDefault="003D21FA" w:rsidP="003D21FA">
      <w:pPr>
        <w:pStyle w:val="Default"/>
        <w:rPr>
          <w:color w:val="auto"/>
        </w:rPr>
      </w:pPr>
    </w:p>
    <w:p w14:paraId="0AEB2CB7" w14:textId="7CCEEACA" w:rsidR="003E4450" w:rsidRPr="003D21FA" w:rsidRDefault="003D21FA" w:rsidP="00E31792">
      <w:r>
        <w:t xml:space="preserve">Das integrierte Gasanalysepaket ermöglicht den Einblick in das zu messende Gas zur optimalen Qualitätsüberwachung und für die Gewährleistung hoher Prozessstabilität </w:t>
      </w:r>
    </w:p>
    <w:sectPr w:rsidR="003E4450" w:rsidRPr="003D21FA" w:rsidSect="00F73FC0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6" w:h="16838" w:code="9"/>
      <w:pgMar w:top="512" w:right="851" w:bottom="1418" w:left="1134" w:header="709" w:footer="56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7953C07" w14:textId="77777777" w:rsidR="009B11C1" w:rsidRDefault="009B11C1" w:rsidP="004C34B5">
      <w:pPr>
        <w:spacing w:line="240" w:lineRule="auto"/>
      </w:pPr>
      <w:r>
        <w:separator/>
      </w:r>
    </w:p>
  </w:endnote>
  <w:endnote w:type="continuationSeparator" w:id="0">
    <w:p w14:paraId="45202723" w14:textId="77777777" w:rsidR="009B11C1" w:rsidRDefault="009B11C1" w:rsidP="004C34B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E+H Serif">
    <w:altName w:val="Times New Roman"/>
    <w:panose1 w:val="02020403050405020404"/>
    <w:charset w:val="00"/>
    <w:family w:val="roman"/>
    <w:pitch w:val="variable"/>
    <w:sig w:usb0="A00002AF" w:usb1="1000206B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E+HSerif">
    <w:altName w:val="Cambria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CB31275" w14:textId="77777777" w:rsidR="003D21FA" w:rsidRDefault="003D21FA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leGrid"/>
      <w:tblpPr w:leftFromText="141" w:rightFromText="141" w:vertAnchor="text" w:tblpY="1"/>
      <w:tblOverlap w:val="never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921"/>
    </w:tblGrid>
    <w:tr w:rsidR="00CF276D" w14:paraId="4D1F4BA9" w14:textId="77777777" w:rsidTr="00622551">
      <w:trPr>
        <w:cantSplit/>
      </w:trPr>
      <w:tc>
        <w:tcPr>
          <w:tcW w:w="5000" w:type="pct"/>
        </w:tcPr>
        <w:p w14:paraId="0B0154CF" w14:textId="77777777" w:rsidR="00CF276D" w:rsidRPr="006810D7" w:rsidRDefault="00CF276D" w:rsidP="00622551">
          <w:pPr>
            <w:pStyle w:val="Footer"/>
            <w:tabs>
              <w:tab w:val="clear" w:pos="4536"/>
              <w:tab w:val="clear" w:pos="9072"/>
              <w:tab w:val="right" w:pos="9923"/>
            </w:tabs>
            <w:jc w:val="right"/>
          </w:pPr>
          <w:r>
            <w:fldChar w:fldCharType="begin"/>
          </w:r>
          <w:r>
            <w:instrText xml:space="preserve"> PAGE  \* Arabic  \* MERGEFORMAT </w:instrText>
          </w:r>
          <w:r>
            <w:fldChar w:fldCharType="separate"/>
          </w:r>
          <w:r w:rsidR="00C17E37">
            <w:rPr>
              <w:noProof/>
            </w:rPr>
            <w:t>2</w:t>
          </w:r>
          <w:r>
            <w:fldChar w:fldCharType="end"/>
          </w:r>
          <w:r>
            <w:t>/</w:t>
          </w:r>
          <w:fldSimple w:instr=" NUMPAGES  \* Arabic  \* MERGEFORMAT ">
            <w:r w:rsidR="00C17E37">
              <w:rPr>
                <w:noProof/>
              </w:rPr>
              <w:t>2</w:t>
            </w:r>
          </w:fldSimple>
        </w:p>
      </w:tc>
    </w:tr>
  </w:tbl>
  <w:p w14:paraId="44A670A8" w14:textId="77777777" w:rsidR="00CF276D" w:rsidRPr="00533615" w:rsidRDefault="00CF276D" w:rsidP="00CF276D">
    <w:pPr>
      <w:pStyle w:val="Footer"/>
      <w:tabs>
        <w:tab w:val="clear" w:pos="4536"/>
        <w:tab w:val="clear" w:pos="9072"/>
        <w:tab w:val="right" w:pos="9923"/>
      </w:tabs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leGrid"/>
      <w:tblpPr w:leftFromText="141" w:rightFromText="141" w:vertAnchor="text" w:tblpY="1"/>
      <w:tblOverlap w:val="never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921"/>
    </w:tblGrid>
    <w:tr w:rsidR="00935912" w14:paraId="007FFDD9" w14:textId="77777777" w:rsidTr="000514D9">
      <w:trPr>
        <w:cantSplit/>
      </w:trPr>
      <w:tc>
        <w:tcPr>
          <w:tcW w:w="5000" w:type="pct"/>
        </w:tcPr>
        <w:p w14:paraId="4F3006C1" w14:textId="77777777" w:rsidR="00935912" w:rsidRPr="006810D7" w:rsidRDefault="00935912" w:rsidP="000514D9">
          <w:pPr>
            <w:pStyle w:val="Footer"/>
            <w:tabs>
              <w:tab w:val="clear" w:pos="4536"/>
              <w:tab w:val="clear" w:pos="9072"/>
              <w:tab w:val="right" w:pos="9923"/>
            </w:tabs>
            <w:jc w:val="right"/>
          </w:pPr>
          <w:r>
            <w:fldChar w:fldCharType="begin"/>
          </w:r>
          <w:r>
            <w:instrText xml:space="preserve"> PAGE  \* Arabic  \* MERGEFORMAT </w:instrText>
          </w:r>
          <w:r>
            <w:fldChar w:fldCharType="separate"/>
          </w:r>
          <w:r w:rsidR="003A4FB7">
            <w:rPr>
              <w:noProof/>
            </w:rPr>
            <w:t>1</w:t>
          </w:r>
          <w:r>
            <w:fldChar w:fldCharType="end"/>
          </w:r>
          <w:r>
            <w:t>/</w:t>
          </w:r>
          <w:fldSimple w:instr=" NUMPAGES  \* Arabic  \* MERGEFORMAT ">
            <w:r w:rsidR="003A4FB7">
              <w:rPr>
                <w:noProof/>
              </w:rPr>
              <w:t>1</w:t>
            </w:r>
          </w:fldSimple>
        </w:p>
      </w:tc>
    </w:tr>
  </w:tbl>
  <w:p w14:paraId="493A183E" w14:textId="77777777" w:rsidR="00935912" w:rsidRDefault="00935912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20A5835" w14:textId="77777777" w:rsidR="009B11C1" w:rsidRDefault="009B11C1" w:rsidP="004C34B5">
      <w:pPr>
        <w:spacing w:line="240" w:lineRule="auto"/>
      </w:pPr>
      <w:r>
        <w:separator/>
      </w:r>
    </w:p>
  </w:footnote>
  <w:footnote w:type="continuationSeparator" w:id="0">
    <w:p w14:paraId="4071F7E1" w14:textId="77777777" w:rsidR="009B11C1" w:rsidRDefault="009B11C1" w:rsidP="004C34B5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3103CB7" w14:textId="77777777" w:rsidR="003D21FA" w:rsidRDefault="003D21FA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leGrid1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6141"/>
      <w:gridCol w:w="3780"/>
    </w:tblGrid>
    <w:tr w:rsidR="00A83355" w14:paraId="51354B90" w14:textId="77777777" w:rsidTr="00F73FC0">
      <w:trPr>
        <w:cantSplit/>
        <w:trHeight w:hRule="exact" w:val="1135"/>
      </w:trPr>
      <w:tc>
        <w:tcPr>
          <w:tcW w:w="0" w:type="auto"/>
        </w:tcPr>
        <w:p w14:paraId="11F1D76D" w14:textId="77777777" w:rsidR="00A83355" w:rsidRPr="00F73FC0" w:rsidRDefault="00A83355" w:rsidP="00C17E37">
          <w:pPr>
            <w:pStyle w:val="Headerblue"/>
            <w:rPr>
              <w:lang w:val="en-US"/>
            </w:rPr>
          </w:pPr>
        </w:p>
      </w:tc>
      <w:sdt>
        <w:sdtPr>
          <w:alias w:val="Logo"/>
          <w:tag w:val="Logo"/>
          <w:id w:val="1957135839"/>
        </w:sdtPr>
        <w:sdtEndPr/>
        <w:sdtContent>
          <w:tc>
            <w:tcPr>
              <w:tcW w:w="3771" w:type="dxa"/>
            </w:tcPr>
            <w:p w14:paraId="05E22F17" w14:textId="77777777" w:rsidR="00A83355" w:rsidRDefault="003D21FA" w:rsidP="003F6A61">
              <w:pPr>
                <w:pStyle w:val="Header"/>
                <w:jc w:val="right"/>
              </w:pPr>
              <w:r>
                <w:rPr>
                  <w:noProof/>
                </w:rPr>
                <w:drawing>
                  <wp:inline distT="0" distB="0" distL="0" distR="0" wp14:anchorId="2C1409D7" wp14:editId="17CA37ED">
                    <wp:extent cx="2394000" cy="485991"/>
                    <wp:effectExtent l="0" t="0" r="6350" b="9525"/>
                    <wp:docPr id="2" name="Grafik 2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2" name=""/>
                            <pic:cNvPicPr/>
                          </pic:nvPicPr>
                          <pic:blipFill>
                            <a:blip r:embed="rId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394000" cy="485991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</w:p>
          </w:tc>
        </w:sdtContent>
      </w:sdt>
    </w:tr>
  </w:tbl>
  <w:p w14:paraId="04A0B4B9" w14:textId="77777777" w:rsidR="003E4450" w:rsidRPr="00C17E37" w:rsidRDefault="003E4450" w:rsidP="003E4450">
    <w:pPr>
      <w:pStyle w:val="Header"/>
      <w:rPr>
        <w:sz w:val="2"/>
        <w:szCs w:val="2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leGrid1"/>
      <w:tblW w:w="5000" w:type="pct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6141"/>
      <w:gridCol w:w="3780"/>
    </w:tblGrid>
    <w:tr w:rsidR="00935912" w14:paraId="6E507286" w14:textId="77777777" w:rsidTr="00802882">
      <w:trPr>
        <w:cantSplit/>
        <w:trHeight w:hRule="exact" w:val="1129"/>
      </w:trPr>
      <w:tc>
        <w:tcPr>
          <w:tcW w:w="0" w:type="auto"/>
        </w:tcPr>
        <w:p w14:paraId="71663B88" w14:textId="77777777" w:rsidR="00935912" w:rsidRPr="000B4D00" w:rsidRDefault="00935912" w:rsidP="000514D9">
          <w:pPr>
            <w:pStyle w:val="Headerblue"/>
            <w:rPr>
              <w:lang w:val="en-US"/>
            </w:rPr>
          </w:pPr>
        </w:p>
      </w:tc>
      <w:sdt>
        <w:sdtPr>
          <w:alias w:val="Logo"/>
          <w:tag w:val="Logo"/>
          <w:id w:val="113172176"/>
        </w:sdtPr>
        <w:sdtEndPr/>
        <w:sdtContent>
          <w:tc>
            <w:tcPr>
              <w:tcW w:w="3771" w:type="dxa"/>
            </w:tcPr>
            <w:p w14:paraId="7A06B4BB" w14:textId="77777777" w:rsidR="00935912" w:rsidRDefault="003D21FA" w:rsidP="003E4450">
              <w:pPr>
                <w:pStyle w:val="Header"/>
                <w:jc w:val="right"/>
              </w:pPr>
              <w:r>
                <w:rPr>
                  <w:noProof/>
                </w:rPr>
                <w:drawing>
                  <wp:inline distT="0" distB="0" distL="0" distR="0" wp14:anchorId="43D04920" wp14:editId="28923C26">
                    <wp:extent cx="2394000" cy="485991"/>
                    <wp:effectExtent l="0" t="0" r="6350" b="9525"/>
                    <wp:docPr id="4" name="Grafik 4"/>
                    <wp:cNvGraphicFramePr>
                      <a:graphicFrameLocks xmlns:a="http://schemas.openxmlformats.org/drawingml/2006/main" noChangeAspect="1"/>
                    </wp:cNvGraphicFramePr>
                    <a:graphic xmlns:a="http://schemas.openxmlformats.org/drawingml/2006/main">
                      <a:graphicData uri="http://schemas.openxmlformats.org/drawingml/2006/picture">
                        <pic:pic xmlns:pic="http://schemas.openxmlformats.org/drawingml/2006/picture">
                          <pic:nvPicPr>
                            <pic:cNvPr id="4" name=""/>
                            <pic:cNvPicPr/>
                          </pic:nvPicPr>
                          <pic:blipFill>
                            <a:blip r:embed="rId1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394000" cy="485991"/>
                            </a:xfrm>
                            <a:prstGeom prst="rect">
                              <a:avLst/>
                            </a:prstGeom>
                          </pic:spPr>
                        </pic:pic>
                      </a:graphicData>
                    </a:graphic>
                  </wp:inline>
                </w:drawing>
              </w:r>
            </w:p>
          </w:tc>
        </w:sdtContent>
      </w:sdt>
    </w:tr>
  </w:tbl>
  <w:p w14:paraId="1F4683FB" w14:textId="77777777" w:rsidR="00A83355" w:rsidRPr="00C8638E" w:rsidRDefault="00A83355">
    <w:pPr>
      <w:pStyle w:val="Header"/>
      <w:rPr>
        <w:rFonts w:ascii="E+H Serif" w:hAnsi="E+H Serif"/>
        <w:sz w:val="2"/>
        <w:szCs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80"/>
    <w:multiLevelType w:val="singleLevel"/>
    <w:tmpl w:val="FBD02710"/>
    <w:lvl w:ilvl="0">
      <w:start w:val="1"/>
      <w:numFmt w:val="bullet"/>
      <w:pStyle w:val="ListBullet5"/>
      <w:lvlText w:val="•"/>
      <w:lvlJc w:val="left"/>
      <w:pPr>
        <w:ind w:left="1492" w:hanging="360"/>
      </w:pPr>
      <w:rPr>
        <w:rFonts w:ascii="E+H Serif" w:hAnsi="E+H Serif" w:hint="default"/>
      </w:rPr>
    </w:lvl>
  </w:abstractNum>
  <w:abstractNum w:abstractNumId="1" w15:restartNumberingAfterBreak="0">
    <w:nsid w:val="FFFFFF81"/>
    <w:multiLevelType w:val="singleLevel"/>
    <w:tmpl w:val="43D6C034"/>
    <w:lvl w:ilvl="0">
      <w:start w:val="1"/>
      <w:numFmt w:val="bullet"/>
      <w:pStyle w:val="ListBullet4"/>
      <w:lvlText w:val="•"/>
      <w:lvlJc w:val="left"/>
      <w:pPr>
        <w:tabs>
          <w:tab w:val="num" w:pos="1209"/>
        </w:tabs>
        <w:ind w:left="1209" w:hanging="360"/>
      </w:pPr>
      <w:rPr>
        <w:rFonts w:ascii="E+H Serif" w:hAnsi="E+H Serif" w:hint="default"/>
      </w:rPr>
    </w:lvl>
  </w:abstractNum>
  <w:abstractNum w:abstractNumId="2" w15:restartNumberingAfterBreak="0">
    <w:nsid w:val="FFFFFF82"/>
    <w:multiLevelType w:val="singleLevel"/>
    <w:tmpl w:val="B762BACC"/>
    <w:lvl w:ilvl="0">
      <w:start w:val="1"/>
      <w:numFmt w:val="bullet"/>
      <w:pStyle w:val="ListBullet3"/>
      <w:lvlText w:val="•"/>
      <w:lvlJc w:val="left"/>
      <w:pPr>
        <w:tabs>
          <w:tab w:val="num" w:pos="926"/>
        </w:tabs>
        <w:ind w:left="926" w:hanging="360"/>
      </w:pPr>
      <w:rPr>
        <w:rFonts w:ascii="E+H Serif" w:hAnsi="E+H Serif" w:hint="default"/>
      </w:rPr>
    </w:lvl>
  </w:abstractNum>
  <w:abstractNum w:abstractNumId="3" w15:restartNumberingAfterBreak="0">
    <w:nsid w:val="FFFFFF83"/>
    <w:multiLevelType w:val="singleLevel"/>
    <w:tmpl w:val="BB8C987A"/>
    <w:lvl w:ilvl="0">
      <w:start w:val="1"/>
      <w:numFmt w:val="bullet"/>
      <w:pStyle w:val="ListBullet2"/>
      <w:lvlText w:val="•"/>
      <w:lvlJc w:val="left"/>
      <w:pPr>
        <w:tabs>
          <w:tab w:val="num" w:pos="643"/>
        </w:tabs>
        <w:ind w:left="643" w:hanging="360"/>
      </w:pPr>
      <w:rPr>
        <w:rFonts w:ascii="E+H Serif" w:hAnsi="E+H Serif" w:hint="default"/>
      </w:rPr>
    </w:lvl>
  </w:abstractNum>
  <w:abstractNum w:abstractNumId="4" w15:restartNumberingAfterBreak="0">
    <w:nsid w:val="FFFFFF89"/>
    <w:multiLevelType w:val="singleLevel"/>
    <w:tmpl w:val="252EA4BA"/>
    <w:lvl w:ilvl="0">
      <w:start w:val="1"/>
      <w:numFmt w:val="bullet"/>
      <w:pStyle w:val="ListBullet"/>
      <w:lvlText w:val="•"/>
      <w:lvlJc w:val="left"/>
      <w:pPr>
        <w:tabs>
          <w:tab w:val="num" w:pos="360"/>
        </w:tabs>
        <w:ind w:left="360" w:hanging="360"/>
      </w:pPr>
      <w:rPr>
        <w:rFonts w:ascii="E+H Serif" w:hAnsi="E+H Serif" w:hint="default"/>
      </w:rPr>
    </w:lvl>
  </w:abstractNum>
  <w:abstractNum w:abstractNumId="5" w15:restartNumberingAfterBreak="0">
    <w:nsid w:val="17DD25B2"/>
    <w:multiLevelType w:val="hybridMultilevel"/>
    <w:tmpl w:val="2CAC2500"/>
    <w:lvl w:ilvl="0" w:tplc="E840606A">
      <w:numFmt w:val="bullet"/>
      <w:lvlText w:val=""/>
      <w:lvlJc w:val="left"/>
      <w:pPr>
        <w:ind w:left="720" w:hanging="360"/>
      </w:pPr>
      <w:rPr>
        <w:rFonts w:ascii="E+H Serif" w:eastAsiaTheme="minorHAnsi" w:hAnsi="E+H Serif" w:cstheme="minorBidi" w:hint="default"/>
      </w:rPr>
    </w:lvl>
    <w:lvl w:ilvl="1" w:tplc="08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AA84252"/>
    <w:multiLevelType w:val="multilevel"/>
    <w:tmpl w:val="1E4CA594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7" w15:restartNumberingAfterBreak="0">
    <w:nsid w:val="34BA016F"/>
    <w:multiLevelType w:val="hybridMultilevel"/>
    <w:tmpl w:val="72FC9A9A"/>
    <w:lvl w:ilvl="0" w:tplc="72B4066C">
      <w:start w:val="1"/>
      <w:numFmt w:val="decimal"/>
      <w:pStyle w:val="7BodyTextNumbering"/>
      <w:lvlText w:val="%1."/>
      <w:lvlJc w:val="left"/>
      <w:pPr>
        <w:ind w:left="360" w:hanging="360"/>
      </w:pPr>
    </w:lvl>
    <w:lvl w:ilvl="1" w:tplc="04070019" w:tentative="1">
      <w:start w:val="1"/>
      <w:numFmt w:val="lowerLetter"/>
      <w:lvlText w:val="%2."/>
      <w:lvlJc w:val="left"/>
      <w:pPr>
        <w:ind w:left="1080" w:hanging="360"/>
      </w:pPr>
    </w:lvl>
    <w:lvl w:ilvl="2" w:tplc="0407001B" w:tentative="1">
      <w:start w:val="1"/>
      <w:numFmt w:val="lowerRoman"/>
      <w:lvlText w:val="%3."/>
      <w:lvlJc w:val="right"/>
      <w:pPr>
        <w:ind w:left="1800" w:hanging="180"/>
      </w:pPr>
    </w:lvl>
    <w:lvl w:ilvl="3" w:tplc="0407000F" w:tentative="1">
      <w:start w:val="1"/>
      <w:numFmt w:val="decimal"/>
      <w:lvlText w:val="%4."/>
      <w:lvlJc w:val="left"/>
      <w:pPr>
        <w:ind w:left="2520" w:hanging="360"/>
      </w:pPr>
    </w:lvl>
    <w:lvl w:ilvl="4" w:tplc="04070019" w:tentative="1">
      <w:start w:val="1"/>
      <w:numFmt w:val="lowerLetter"/>
      <w:lvlText w:val="%5."/>
      <w:lvlJc w:val="left"/>
      <w:pPr>
        <w:ind w:left="3240" w:hanging="360"/>
      </w:pPr>
    </w:lvl>
    <w:lvl w:ilvl="5" w:tplc="0407001B" w:tentative="1">
      <w:start w:val="1"/>
      <w:numFmt w:val="lowerRoman"/>
      <w:lvlText w:val="%6."/>
      <w:lvlJc w:val="right"/>
      <w:pPr>
        <w:ind w:left="3960" w:hanging="180"/>
      </w:pPr>
    </w:lvl>
    <w:lvl w:ilvl="6" w:tplc="0407000F" w:tentative="1">
      <w:start w:val="1"/>
      <w:numFmt w:val="decimal"/>
      <w:lvlText w:val="%7."/>
      <w:lvlJc w:val="left"/>
      <w:pPr>
        <w:ind w:left="4680" w:hanging="360"/>
      </w:pPr>
    </w:lvl>
    <w:lvl w:ilvl="7" w:tplc="04070019" w:tentative="1">
      <w:start w:val="1"/>
      <w:numFmt w:val="lowerLetter"/>
      <w:lvlText w:val="%8."/>
      <w:lvlJc w:val="left"/>
      <w:pPr>
        <w:ind w:left="5400" w:hanging="360"/>
      </w:pPr>
    </w:lvl>
    <w:lvl w:ilvl="8" w:tplc="04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4FA954A0"/>
    <w:multiLevelType w:val="multilevel"/>
    <w:tmpl w:val="811CB360"/>
    <w:lvl w:ilvl="0">
      <w:start w:val="1"/>
      <w:numFmt w:val="bullet"/>
      <w:lvlRestart w:val="0"/>
      <w:pStyle w:val="6BodyTextBullets"/>
      <w:lvlText w:val="•"/>
      <w:lvlJc w:val="left"/>
      <w:pPr>
        <w:tabs>
          <w:tab w:val="num" w:pos="283"/>
        </w:tabs>
        <w:ind w:left="283" w:hanging="283"/>
      </w:pPr>
      <w:rPr>
        <w:rFonts w:ascii="E+H Serif" w:hAnsi="E+H Serif"/>
        <w:color w:val="000000"/>
        <w:sz w:val="18"/>
      </w:rPr>
    </w:lvl>
    <w:lvl w:ilvl="1">
      <w:start w:val="1"/>
      <w:numFmt w:val="bullet"/>
      <w:lvlText w:val="•"/>
      <w:lvlJc w:val="left"/>
      <w:pPr>
        <w:tabs>
          <w:tab w:val="num" w:pos="567"/>
        </w:tabs>
        <w:ind w:left="567" w:hanging="284"/>
      </w:pPr>
      <w:rPr>
        <w:rFonts w:ascii="E+H Serif" w:hAnsi="E+H Serif"/>
        <w:color w:val="000000"/>
        <w:sz w:val="18"/>
      </w:rPr>
    </w:lvl>
    <w:lvl w:ilvl="2">
      <w:start w:val="1"/>
      <w:numFmt w:val="bullet"/>
      <w:lvlText w:val="•"/>
      <w:lvlJc w:val="left"/>
      <w:pPr>
        <w:tabs>
          <w:tab w:val="num" w:pos="850"/>
        </w:tabs>
        <w:ind w:left="850" w:hanging="283"/>
      </w:pPr>
      <w:rPr>
        <w:rFonts w:ascii="E+H Serif" w:hAnsi="E+H Serif"/>
        <w:color w:val="000000"/>
        <w:sz w:val="18"/>
      </w:rPr>
    </w:lvl>
    <w:lvl w:ilvl="3">
      <w:start w:val="1"/>
      <w:numFmt w:val="bullet"/>
      <w:lvlText w:val="•"/>
      <w:lvlJc w:val="left"/>
      <w:pPr>
        <w:tabs>
          <w:tab w:val="num" w:pos="1134"/>
        </w:tabs>
        <w:ind w:left="1134" w:hanging="284"/>
      </w:pPr>
      <w:rPr>
        <w:rFonts w:ascii="E+H Serif" w:hAnsi="E+H Serif"/>
        <w:color w:val="000000"/>
        <w:sz w:val="18"/>
      </w:rPr>
    </w:lvl>
    <w:lvl w:ilvl="4">
      <w:start w:val="1"/>
      <w:numFmt w:val="bullet"/>
      <w:lvlText w:val="•"/>
      <w:lvlJc w:val="left"/>
      <w:pPr>
        <w:tabs>
          <w:tab w:val="num" w:pos="1417"/>
        </w:tabs>
        <w:ind w:left="1417" w:hanging="283"/>
      </w:pPr>
      <w:rPr>
        <w:rFonts w:ascii="E+H Serif" w:hAnsi="E+H Serif"/>
        <w:color w:val="000000"/>
        <w:sz w:val="18"/>
      </w:rPr>
    </w:lvl>
    <w:lvl w:ilvl="5">
      <w:start w:val="1"/>
      <w:numFmt w:val="bullet"/>
      <w:lvlText w:val="•"/>
      <w:lvlJc w:val="left"/>
      <w:pPr>
        <w:tabs>
          <w:tab w:val="num" w:pos="1701"/>
        </w:tabs>
        <w:ind w:left="1701" w:hanging="284"/>
      </w:pPr>
      <w:rPr>
        <w:rFonts w:ascii="E+H Serif" w:hAnsi="E+H Serif"/>
        <w:color w:val="000000"/>
        <w:sz w:val="18"/>
      </w:rPr>
    </w:lvl>
    <w:lvl w:ilvl="6">
      <w:start w:val="1"/>
      <w:numFmt w:val="bullet"/>
      <w:lvlText w:val="•"/>
      <w:lvlJc w:val="left"/>
      <w:pPr>
        <w:tabs>
          <w:tab w:val="num" w:pos="1984"/>
        </w:tabs>
        <w:ind w:left="1984" w:hanging="283"/>
      </w:pPr>
      <w:rPr>
        <w:rFonts w:ascii="E+H Serif" w:hAnsi="E+H Serif"/>
        <w:color w:val="000000"/>
        <w:sz w:val="18"/>
      </w:rPr>
    </w:lvl>
    <w:lvl w:ilvl="7">
      <w:start w:val="1"/>
      <w:numFmt w:val="bullet"/>
      <w:lvlText w:val="•"/>
      <w:lvlJc w:val="left"/>
      <w:pPr>
        <w:tabs>
          <w:tab w:val="num" w:pos="2268"/>
        </w:tabs>
        <w:ind w:left="2268" w:hanging="284"/>
      </w:pPr>
      <w:rPr>
        <w:rFonts w:ascii="E+H Serif" w:hAnsi="E+H Serif"/>
        <w:color w:val="000000"/>
        <w:sz w:val="18"/>
      </w:rPr>
    </w:lvl>
    <w:lvl w:ilvl="8">
      <w:start w:val="1"/>
      <w:numFmt w:val="bullet"/>
      <w:lvlText w:val="•"/>
      <w:lvlJc w:val="left"/>
      <w:pPr>
        <w:tabs>
          <w:tab w:val="num" w:pos="2551"/>
        </w:tabs>
        <w:ind w:left="2551" w:hanging="283"/>
      </w:pPr>
      <w:rPr>
        <w:rFonts w:ascii="E+H Serif" w:hAnsi="E+H Serif"/>
        <w:color w:val="000000"/>
        <w:sz w:val="18"/>
      </w:rPr>
    </w:lvl>
  </w:abstractNum>
  <w:num w:numId="1">
    <w:abstractNumId w:val="5"/>
  </w:num>
  <w:num w:numId="2">
    <w:abstractNumId w:val="4"/>
  </w:num>
  <w:num w:numId="3">
    <w:abstractNumId w:val="4"/>
  </w:num>
  <w:num w:numId="4">
    <w:abstractNumId w:val="3"/>
  </w:num>
  <w:num w:numId="5">
    <w:abstractNumId w:val="3"/>
  </w:num>
  <w:num w:numId="6">
    <w:abstractNumId w:val="2"/>
  </w:num>
  <w:num w:numId="7">
    <w:abstractNumId w:val="2"/>
  </w:num>
  <w:num w:numId="8">
    <w:abstractNumId w:val="4"/>
  </w:num>
  <w:num w:numId="9">
    <w:abstractNumId w:val="3"/>
  </w:num>
  <w:num w:numId="10">
    <w:abstractNumId w:val="2"/>
  </w:num>
  <w:num w:numId="11">
    <w:abstractNumId w:val="1"/>
  </w:num>
  <w:num w:numId="12">
    <w:abstractNumId w:val="1"/>
  </w:num>
  <w:num w:numId="13">
    <w:abstractNumId w:val="0"/>
  </w:num>
  <w:num w:numId="14">
    <w:abstractNumId w:val="0"/>
  </w:num>
  <w:num w:numId="15">
    <w:abstractNumId w:val="8"/>
  </w:num>
  <w:num w:numId="16">
    <w:abstractNumId w:val="7"/>
  </w:num>
  <w:num w:numId="17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attachedTemplate r:id="rId1"/>
  <w:trackRevisions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D21FA"/>
    <w:rsid w:val="000152A7"/>
    <w:rsid w:val="00030AE8"/>
    <w:rsid w:val="00044E56"/>
    <w:rsid w:val="000546B4"/>
    <w:rsid w:val="0007279F"/>
    <w:rsid w:val="00090264"/>
    <w:rsid w:val="00093B97"/>
    <w:rsid w:val="000A5FF0"/>
    <w:rsid w:val="000B4D00"/>
    <w:rsid w:val="000C1B4A"/>
    <w:rsid w:val="000C6FD0"/>
    <w:rsid w:val="000D1B63"/>
    <w:rsid w:val="000E3A98"/>
    <w:rsid w:val="0010038E"/>
    <w:rsid w:val="0011059E"/>
    <w:rsid w:val="00127040"/>
    <w:rsid w:val="0013370F"/>
    <w:rsid w:val="00150DBC"/>
    <w:rsid w:val="00153856"/>
    <w:rsid w:val="0015640F"/>
    <w:rsid w:val="001651C5"/>
    <w:rsid w:val="00197394"/>
    <w:rsid w:val="001A2F44"/>
    <w:rsid w:val="001A7FA6"/>
    <w:rsid w:val="001C1436"/>
    <w:rsid w:val="001D586C"/>
    <w:rsid w:val="001E069F"/>
    <w:rsid w:val="001E6A09"/>
    <w:rsid w:val="00215D1E"/>
    <w:rsid w:val="00231955"/>
    <w:rsid w:val="00235A32"/>
    <w:rsid w:val="00251D94"/>
    <w:rsid w:val="00252C3C"/>
    <w:rsid w:val="00272A7C"/>
    <w:rsid w:val="002771CD"/>
    <w:rsid w:val="0028494E"/>
    <w:rsid w:val="002932B6"/>
    <w:rsid w:val="002A62AC"/>
    <w:rsid w:val="002B4DA3"/>
    <w:rsid w:val="002B63EB"/>
    <w:rsid w:val="002D2457"/>
    <w:rsid w:val="002F6085"/>
    <w:rsid w:val="002F61E8"/>
    <w:rsid w:val="00300FCD"/>
    <w:rsid w:val="00344476"/>
    <w:rsid w:val="00345080"/>
    <w:rsid w:val="003502E7"/>
    <w:rsid w:val="00352332"/>
    <w:rsid w:val="003918E1"/>
    <w:rsid w:val="003A178D"/>
    <w:rsid w:val="003A49EC"/>
    <w:rsid w:val="003A4FB7"/>
    <w:rsid w:val="003B6251"/>
    <w:rsid w:val="003B692D"/>
    <w:rsid w:val="003C7E5D"/>
    <w:rsid w:val="003D21FA"/>
    <w:rsid w:val="003E4450"/>
    <w:rsid w:val="003F6A61"/>
    <w:rsid w:val="004172D9"/>
    <w:rsid w:val="00423AD6"/>
    <w:rsid w:val="00441FB5"/>
    <w:rsid w:val="00444304"/>
    <w:rsid w:val="0046436A"/>
    <w:rsid w:val="00464BF6"/>
    <w:rsid w:val="0048006D"/>
    <w:rsid w:val="004859B2"/>
    <w:rsid w:val="004C34B5"/>
    <w:rsid w:val="004C4E95"/>
    <w:rsid w:val="004D36CE"/>
    <w:rsid w:val="004E5382"/>
    <w:rsid w:val="004E7D5E"/>
    <w:rsid w:val="004F74DB"/>
    <w:rsid w:val="0051513F"/>
    <w:rsid w:val="005166D6"/>
    <w:rsid w:val="00527E27"/>
    <w:rsid w:val="00534B4E"/>
    <w:rsid w:val="00536CD2"/>
    <w:rsid w:val="005437CD"/>
    <w:rsid w:val="00552836"/>
    <w:rsid w:val="00576A01"/>
    <w:rsid w:val="005845DF"/>
    <w:rsid w:val="005938B4"/>
    <w:rsid w:val="005A2246"/>
    <w:rsid w:val="005B4884"/>
    <w:rsid w:val="005D0427"/>
    <w:rsid w:val="005E2EBC"/>
    <w:rsid w:val="00606EA9"/>
    <w:rsid w:val="00634240"/>
    <w:rsid w:val="00635A2E"/>
    <w:rsid w:val="00643F00"/>
    <w:rsid w:val="006916F1"/>
    <w:rsid w:val="006A6B1C"/>
    <w:rsid w:val="006B37A0"/>
    <w:rsid w:val="006C07E6"/>
    <w:rsid w:val="006D3CF9"/>
    <w:rsid w:val="006E0269"/>
    <w:rsid w:val="006E0EFD"/>
    <w:rsid w:val="006F7676"/>
    <w:rsid w:val="00700BD9"/>
    <w:rsid w:val="00703503"/>
    <w:rsid w:val="00705218"/>
    <w:rsid w:val="00713693"/>
    <w:rsid w:val="007327A6"/>
    <w:rsid w:val="00737F17"/>
    <w:rsid w:val="00743BB2"/>
    <w:rsid w:val="00743F6D"/>
    <w:rsid w:val="007471A0"/>
    <w:rsid w:val="007750DC"/>
    <w:rsid w:val="007814EF"/>
    <w:rsid w:val="00785611"/>
    <w:rsid w:val="00791370"/>
    <w:rsid w:val="007C2972"/>
    <w:rsid w:val="007D2B6A"/>
    <w:rsid w:val="007D5270"/>
    <w:rsid w:val="007D6408"/>
    <w:rsid w:val="007F68CB"/>
    <w:rsid w:val="00801DA9"/>
    <w:rsid w:val="00802882"/>
    <w:rsid w:val="00805BAE"/>
    <w:rsid w:val="008214B6"/>
    <w:rsid w:val="008320DB"/>
    <w:rsid w:val="0084217C"/>
    <w:rsid w:val="00843D17"/>
    <w:rsid w:val="0085691E"/>
    <w:rsid w:val="008603BB"/>
    <w:rsid w:val="008734D6"/>
    <w:rsid w:val="008A1CF2"/>
    <w:rsid w:val="008E273F"/>
    <w:rsid w:val="008E35EA"/>
    <w:rsid w:val="008E364B"/>
    <w:rsid w:val="00917E56"/>
    <w:rsid w:val="00935912"/>
    <w:rsid w:val="00941D94"/>
    <w:rsid w:val="0095157A"/>
    <w:rsid w:val="00952B5E"/>
    <w:rsid w:val="009617FF"/>
    <w:rsid w:val="00970BDA"/>
    <w:rsid w:val="00970D14"/>
    <w:rsid w:val="0098239B"/>
    <w:rsid w:val="009A18ED"/>
    <w:rsid w:val="009A547F"/>
    <w:rsid w:val="009B11C1"/>
    <w:rsid w:val="009E0400"/>
    <w:rsid w:val="009F6EA1"/>
    <w:rsid w:val="00A044F5"/>
    <w:rsid w:val="00A44CC8"/>
    <w:rsid w:val="00A73965"/>
    <w:rsid w:val="00A74D5B"/>
    <w:rsid w:val="00A83355"/>
    <w:rsid w:val="00AB2385"/>
    <w:rsid w:val="00AC171D"/>
    <w:rsid w:val="00AE31D5"/>
    <w:rsid w:val="00B10756"/>
    <w:rsid w:val="00B25E1E"/>
    <w:rsid w:val="00B26285"/>
    <w:rsid w:val="00B33FB2"/>
    <w:rsid w:val="00B46F5C"/>
    <w:rsid w:val="00B47310"/>
    <w:rsid w:val="00BE2BAF"/>
    <w:rsid w:val="00C007D4"/>
    <w:rsid w:val="00C15E2E"/>
    <w:rsid w:val="00C17E37"/>
    <w:rsid w:val="00C24A1D"/>
    <w:rsid w:val="00C31DBE"/>
    <w:rsid w:val="00C7592A"/>
    <w:rsid w:val="00C76FE1"/>
    <w:rsid w:val="00C8376A"/>
    <w:rsid w:val="00C85929"/>
    <w:rsid w:val="00C859B6"/>
    <w:rsid w:val="00C8638E"/>
    <w:rsid w:val="00CA1BBA"/>
    <w:rsid w:val="00CF276D"/>
    <w:rsid w:val="00D1564C"/>
    <w:rsid w:val="00D22087"/>
    <w:rsid w:val="00D23623"/>
    <w:rsid w:val="00D24945"/>
    <w:rsid w:val="00D510B7"/>
    <w:rsid w:val="00D55D97"/>
    <w:rsid w:val="00D571EC"/>
    <w:rsid w:val="00D80841"/>
    <w:rsid w:val="00D85B29"/>
    <w:rsid w:val="00DB144F"/>
    <w:rsid w:val="00DB5BD7"/>
    <w:rsid w:val="00DD590C"/>
    <w:rsid w:val="00DE1F9E"/>
    <w:rsid w:val="00DF0FDC"/>
    <w:rsid w:val="00E31792"/>
    <w:rsid w:val="00E5196D"/>
    <w:rsid w:val="00E524C5"/>
    <w:rsid w:val="00E63785"/>
    <w:rsid w:val="00E94B25"/>
    <w:rsid w:val="00EA2B2E"/>
    <w:rsid w:val="00EB2C0C"/>
    <w:rsid w:val="00EC6FB1"/>
    <w:rsid w:val="00EF5503"/>
    <w:rsid w:val="00EF6B5D"/>
    <w:rsid w:val="00EF7263"/>
    <w:rsid w:val="00F411F7"/>
    <w:rsid w:val="00F563B4"/>
    <w:rsid w:val="00F73FC0"/>
    <w:rsid w:val="00F94B5C"/>
    <w:rsid w:val="00F977E0"/>
    <w:rsid w:val="00FA2214"/>
    <w:rsid w:val="00FB257A"/>
    <w:rsid w:val="00FC41FA"/>
    <w:rsid w:val="00FC5A9A"/>
    <w:rsid w:val="00FE371C"/>
    <w:rsid w:val="00FE59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753E383F"/>
  <w15:docId w15:val="{77B2D53F-70AF-4649-A75E-A2DA326F4E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 w:qFormat="1"/>
    <w:lsdException w:name="toc 5" w:semiHidden="1" w:uiPriority="39" w:unhideWhenUsed="1" w:qFormat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uiPriority="98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aliases w:val="4 Body Text Normal"/>
    <w:qFormat/>
    <w:rsid w:val="003D21FA"/>
    <w:rPr>
      <w:lang w:val="de-DE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qFormat/>
    <w:rsid w:val="00802882"/>
    <w:pPr>
      <w:keepNext/>
      <w:keepLines/>
      <w:numPr>
        <w:numId w:val="17"/>
      </w:numPr>
      <w:spacing w:before="480" w:after="240"/>
      <w:ind w:left="431" w:hanging="431"/>
      <w:outlineLvl w:val="0"/>
    </w:pPr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qFormat/>
    <w:rsid w:val="001E069F"/>
    <w:pPr>
      <w:keepNext/>
      <w:keepLines/>
      <w:numPr>
        <w:ilvl w:val="1"/>
        <w:numId w:val="17"/>
      </w:numPr>
      <w:spacing w:before="200" w:after="240"/>
      <w:ind w:left="578" w:hanging="578"/>
      <w:outlineLvl w:val="1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Heading3">
    <w:name w:val="heading 3"/>
    <w:basedOn w:val="Normal"/>
    <w:next w:val="Normal"/>
    <w:link w:val="Heading3Char"/>
    <w:autoRedefine/>
    <w:uiPriority w:val="9"/>
    <w:unhideWhenUsed/>
    <w:qFormat/>
    <w:rsid w:val="00D22087"/>
    <w:pPr>
      <w:keepNext/>
      <w:keepLines/>
      <w:numPr>
        <w:ilvl w:val="2"/>
        <w:numId w:val="17"/>
      </w:numPr>
      <w:spacing w:before="200" w:after="240"/>
      <w:outlineLvl w:val="2"/>
    </w:pPr>
    <w:rPr>
      <w:rFonts w:asciiTheme="majorHAnsi" w:eastAsiaTheme="majorEastAsia" w:hAnsiTheme="majorHAnsi" w:cstheme="majorBidi"/>
      <w:b/>
      <w:bCs/>
    </w:rPr>
  </w:style>
  <w:style w:type="paragraph" w:styleId="Heading4">
    <w:name w:val="heading 4"/>
    <w:basedOn w:val="Normal"/>
    <w:next w:val="Normal"/>
    <w:link w:val="Heading4Char"/>
    <w:autoRedefine/>
    <w:uiPriority w:val="9"/>
    <w:unhideWhenUsed/>
    <w:qFormat/>
    <w:rsid w:val="00D22087"/>
    <w:pPr>
      <w:keepNext/>
      <w:keepLines/>
      <w:numPr>
        <w:ilvl w:val="3"/>
        <w:numId w:val="17"/>
      </w:numPr>
      <w:spacing w:before="200" w:after="240"/>
      <w:ind w:left="862" w:hanging="862"/>
      <w:outlineLvl w:val="3"/>
    </w:pPr>
    <w:rPr>
      <w:rFonts w:asciiTheme="majorHAnsi" w:eastAsiaTheme="majorEastAsia" w:hAnsiTheme="majorHAnsi" w:cstheme="majorBidi"/>
      <w:b/>
      <w:bCs/>
      <w:iCs/>
    </w:rPr>
  </w:style>
  <w:style w:type="paragraph" w:styleId="Heading5">
    <w:name w:val="heading 5"/>
    <w:basedOn w:val="Normal"/>
    <w:next w:val="Normal"/>
    <w:link w:val="Heading5Char"/>
    <w:autoRedefine/>
    <w:uiPriority w:val="9"/>
    <w:unhideWhenUsed/>
    <w:qFormat/>
    <w:rsid w:val="00D22087"/>
    <w:pPr>
      <w:keepNext/>
      <w:keepLines/>
      <w:numPr>
        <w:ilvl w:val="4"/>
        <w:numId w:val="17"/>
      </w:numPr>
      <w:spacing w:before="200" w:after="240"/>
      <w:ind w:left="1009" w:hanging="1009"/>
      <w:outlineLvl w:val="4"/>
    </w:pPr>
    <w:rPr>
      <w:rFonts w:asciiTheme="majorHAnsi" w:eastAsiaTheme="majorEastAsia" w:hAnsiTheme="majorHAnsi" w:cstheme="majorBidi"/>
      <w:b/>
    </w:rPr>
  </w:style>
  <w:style w:type="paragraph" w:styleId="Heading6">
    <w:name w:val="heading 6"/>
    <w:basedOn w:val="Normal"/>
    <w:next w:val="Normal"/>
    <w:link w:val="Heading6Char"/>
    <w:autoRedefine/>
    <w:uiPriority w:val="9"/>
    <w:unhideWhenUsed/>
    <w:qFormat/>
    <w:rsid w:val="00D22087"/>
    <w:pPr>
      <w:keepNext/>
      <w:keepLines/>
      <w:numPr>
        <w:ilvl w:val="5"/>
        <w:numId w:val="17"/>
      </w:numPr>
      <w:spacing w:before="200" w:after="240"/>
      <w:ind w:left="1151" w:hanging="1151"/>
      <w:outlineLvl w:val="5"/>
    </w:pPr>
    <w:rPr>
      <w:rFonts w:asciiTheme="majorHAnsi" w:eastAsiaTheme="majorEastAsia" w:hAnsiTheme="majorHAnsi" w:cstheme="majorBidi"/>
      <w:b/>
      <w:iCs/>
    </w:rPr>
  </w:style>
  <w:style w:type="paragraph" w:styleId="Heading7">
    <w:name w:val="heading 7"/>
    <w:basedOn w:val="Normal"/>
    <w:next w:val="Normal"/>
    <w:link w:val="Heading7Char"/>
    <w:autoRedefine/>
    <w:uiPriority w:val="9"/>
    <w:unhideWhenUsed/>
    <w:qFormat/>
    <w:rsid w:val="00D22087"/>
    <w:pPr>
      <w:keepNext/>
      <w:keepLines/>
      <w:numPr>
        <w:ilvl w:val="6"/>
        <w:numId w:val="17"/>
      </w:numPr>
      <w:spacing w:before="200" w:after="240"/>
      <w:ind w:left="1298" w:hanging="1298"/>
      <w:outlineLvl w:val="6"/>
    </w:pPr>
    <w:rPr>
      <w:rFonts w:asciiTheme="majorHAnsi" w:eastAsiaTheme="majorEastAsia" w:hAnsiTheme="majorHAnsi" w:cstheme="majorBidi"/>
      <w:b/>
      <w:iCs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1E069F"/>
    <w:pPr>
      <w:keepNext/>
      <w:keepLines/>
      <w:numPr>
        <w:ilvl w:val="7"/>
        <w:numId w:val="17"/>
      </w:numPr>
      <w:spacing w:before="200" w:after="240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1E069F"/>
    <w:pPr>
      <w:keepNext/>
      <w:keepLines/>
      <w:numPr>
        <w:ilvl w:val="8"/>
        <w:numId w:val="17"/>
      </w:numPr>
      <w:spacing w:before="200" w:after="24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C34B5"/>
    <w:pPr>
      <w:tabs>
        <w:tab w:val="center" w:pos="4536"/>
        <w:tab w:val="right" w:pos="9072"/>
      </w:tabs>
      <w:spacing w:after="24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4C34B5"/>
  </w:style>
  <w:style w:type="paragraph" w:styleId="Footer">
    <w:name w:val="footer"/>
    <w:basedOn w:val="Normal"/>
    <w:link w:val="FooterChar"/>
    <w:uiPriority w:val="99"/>
    <w:unhideWhenUsed/>
    <w:rsid w:val="00CF276D"/>
    <w:pPr>
      <w:tabs>
        <w:tab w:val="center" w:pos="4536"/>
        <w:tab w:val="right" w:pos="9072"/>
      </w:tabs>
      <w:spacing w:after="240"/>
    </w:pPr>
  </w:style>
  <w:style w:type="character" w:customStyle="1" w:styleId="FooterChar">
    <w:name w:val="Footer Char"/>
    <w:basedOn w:val="DefaultParagraphFont"/>
    <w:link w:val="Footer"/>
    <w:uiPriority w:val="99"/>
    <w:rsid w:val="00CF276D"/>
  </w:style>
  <w:style w:type="table" w:styleId="TableGrid">
    <w:name w:val="Table Grid"/>
    <w:basedOn w:val="TableNormal"/>
    <w:uiPriority w:val="59"/>
    <w:rsid w:val="004C34B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093B97"/>
    <w:pPr>
      <w:spacing w:after="24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93B97"/>
    <w:rPr>
      <w:rFonts w:ascii="Tahoma" w:hAnsi="Tahoma" w:cs="Tahoma"/>
      <w:sz w:val="16"/>
      <w:szCs w:val="16"/>
    </w:rPr>
  </w:style>
  <w:style w:type="character" w:styleId="PlaceholderText">
    <w:name w:val="Placeholder Text"/>
    <w:basedOn w:val="DefaultParagraphFont"/>
    <w:uiPriority w:val="99"/>
    <w:semiHidden/>
    <w:rsid w:val="00093B97"/>
    <w:rPr>
      <w:color w:val="808080"/>
    </w:rPr>
  </w:style>
  <w:style w:type="paragraph" w:styleId="BodyText">
    <w:name w:val="Body Text"/>
    <w:basedOn w:val="Normal"/>
    <w:link w:val="BodyTextChar"/>
    <w:autoRedefine/>
    <w:uiPriority w:val="98"/>
    <w:rsid w:val="00D22087"/>
    <w:pPr>
      <w:spacing w:after="240"/>
    </w:pPr>
    <w:rPr>
      <w:rFonts w:ascii="E+H Serif" w:hAnsi="E+H Serif"/>
      <w:lang w:val="en-US"/>
    </w:rPr>
  </w:style>
  <w:style w:type="character" w:customStyle="1" w:styleId="BodyTextChar">
    <w:name w:val="Body Text Char"/>
    <w:basedOn w:val="DefaultParagraphFont"/>
    <w:link w:val="BodyText"/>
    <w:uiPriority w:val="98"/>
    <w:rsid w:val="00D22087"/>
    <w:rPr>
      <w:rFonts w:ascii="E+H Serif" w:hAnsi="E+H Serif"/>
      <w:lang w:val="en-US"/>
    </w:rPr>
  </w:style>
  <w:style w:type="paragraph" w:customStyle="1" w:styleId="Headerblue">
    <w:name w:val="Header blue"/>
    <w:basedOn w:val="Header"/>
    <w:rsid w:val="00F563B4"/>
    <w:pPr>
      <w:spacing w:before="200"/>
      <w:contextualSpacing/>
    </w:pPr>
    <w:rPr>
      <w:rFonts w:ascii="E+H Serif" w:hAnsi="E+H Serif"/>
      <w:color w:val="0088FF"/>
      <w:sz w:val="28"/>
    </w:rPr>
  </w:style>
  <w:style w:type="paragraph" w:customStyle="1" w:styleId="Subject">
    <w:name w:val="Subject"/>
    <w:basedOn w:val="Normal"/>
    <w:rsid w:val="00A73965"/>
    <w:rPr>
      <w:rFonts w:ascii="E+H Serif" w:hAnsi="E+H Serif"/>
      <w:b/>
    </w:rPr>
  </w:style>
  <w:style w:type="character" w:styleId="SubtleReference">
    <w:name w:val="Subtle Reference"/>
    <w:basedOn w:val="DefaultParagraphFont"/>
    <w:uiPriority w:val="31"/>
    <w:rsid w:val="007327A6"/>
    <w:rPr>
      <w:smallCaps/>
      <w:color w:val="auto"/>
      <w:u w:val="single"/>
    </w:rPr>
  </w:style>
  <w:style w:type="paragraph" w:styleId="IntenseQuote">
    <w:name w:val="Intense Quote"/>
    <w:basedOn w:val="Normal"/>
    <w:next w:val="Normal"/>
    <w:link w:val="IntenseQuoteChar"/>
    <w:uiPriority w:val="30"/>
    <w:rsid w:val="007327A6"/>
    <w:pPr>
      <w:pBdr>
        <w:bottom w:val="single" w:sz="4" w:space="4" w:color="AED3E7" w:themeColor="accent1"/>
      </w:pBdr>
      <w:spacing w:before="200" w:after="280"/>
      <w:ind w:left="936" w:right="936"/>
    </w:pPr>
    <w:rPr>
      <w:b/>
      <w:bCs/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327A6"/>
    <w:rPr>
      <w:b/>
      <w:bCs/>
      <w:i/>
      <w:iCs/>
    </w:rPr>
  </w:style>
  <w:style w:type="character" w:styleId="IntenseEmphasis">
    <w:name w:val="Intense Emphasis"/>
    <w:basedOn w:val="DefaultParagraphFont"/>
    <w:uiPriority w:val="21"/>
    <w:rsid w:val="007327A6"/>
    <w:rPr>
      <w:b/>
      <w:bCs/>
      <w:i/>
      <w:iCs/>
      <w:color w:val="auto"/>
    </w:rPr>
  </w:style>
  <w:style w:type="character" w:styleId="SubtleEmphasis">
    <w:name w:val="Subtle Emphasis"/>
    <w:basedOn w:val="DefaultParagraphFont"/>
    <w:uiPriority w:val="19"/>
    <w:rsid w:val="007327A6"/>
    <w:rPr>
      <w:i/>
      <w:iCs/>
      <w:color w:val="auto"/>
    </w:rPr>
  </w:style>
  <w:style w:type="paragraph" w:styleId="Subtitle">
    <w:name w:val="Subtitle"/>
    <w:basedOn w:val="Normal"/>
    <w:next w:val="Normal"/>
    <w:link w:val="SubtitleChar"/>
    <w:uiPriority w:val="11"/>
    <w:rsid w:val="007327A6"/>
    <w:pPr>
      <w:numPr>
        <w:ilvl w:val="1"/>
      </w:numPr>
      <w:spacing w:after="240"/>
    </w:pPr>
    <w:rPr>
      <w:rFonts w:asciiTheme="majorHAnsi" w:eastAsiaTheme="majorEastAsia" w:hAnsiTheme="majorHAnsi" w:cstheme="majorBidi"/>
      <w:i/>
      <w:iCs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7327A6"/>
    <w:rPr>
      <w:rFonts w:asciiTheme="majorHAnsi" w:eastAsiaTheme="majorEastAsia" w:hAnsiTheme="majorHAnsi" w:cstheme="majorBidi"/>
      <w:i/>
      <w:iCs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rsid w:val="007327A6"/>
    <w:pPr>
      <w:pBdr>
        <w:bottom w:val="single" w:sz="8" w:space="4" w:color="AED3E7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7327A6"/>
    <w:rPr>
      <w:rFonts w:asciiTheme="majorHAnsi" w:eastAsiaTheme="majorEastAsia" w:hAnsiTheme="majorHAnsi" w:cstheme="majorBidi"/>
      <w:spacing w:val="5"/>
      <w:kern w:val="28"/>
      <w:sz w:val="52"/>
      <w:szCs w:val="52"/>
    </w:rPr>
  </w:style>
  <w:style w:type="character" w:customStyle="1" w:styleId="Heading2Char">
    <w:name w:val="Heading 2 Char"/>
    <w:basedOn w:val="DefaultParagraphFont"/>
    <w:link w:val="Heading2"/>
    <w:uiPriority w:val="9"/>
    <w:rsid w:val="001E069F"/>
    <w:rPr>
      <w:rFonts w:asciiTheme="majorHAnsi" w:eastAsiaTheme="majorEastAsia" w:hAnsiTheme="majorHAnsi" w:cstheme="majorBidi"/>
      <w:b/>
      <w:bCs/>
      <w:sz w:val="26"/>
      <w:szCs w:val="26"/>
      <w:lang w:val="de-DE"/>
    </w:rPr>
  </w:style>
  <w:style w:type="character" w:customStyle="1" w:styleId="Heading1Char">
    <w:name w:val="Heading 1 Char"/>
    <w:basedOn w:val="DefaultParagraphFont"/>
    <w:link w:val="Heading1"/>
    <w:uiPriority w:val="9"/>
    <w:rsid w:val="00802882"/>
    <w:rPr>
      <w:rFonts w:asciiTheme="majorHAnsi" w:eastAsiaTheme="majorEastAsia" w:hAnsiTheme="majorHAnsi" w:cstheme="majorBidi"/>
      <w:b/>
      <w:bCs/>
      <w:sz w:val="28"/>
      <w:szCs w:val="28"/>
      <w:lang w:val="de-DE"/>
    </w:rPr>
  </w:style>
  <w:style w:type="character" w:styleId="IntenseReference">
    <w:name w:val="Intense Reference"/>
    <w:basedOn w:val="DefaultParagraphFont"/>
    <w:uiPriority w:val="32"/>
    <w:rsid w:val="007327A6"/>
    <w:rPr>
      <w:b/>
      <w:bCs/>
      <w:smallCaps/>
      <w:color w:val="auto"/>
      <w:spacing w:val="5"/>
      <w:u w:val="single"/>
    </w:rPr>
  </w:style>
  <w:style w:type="paragraph" w:customStyle="1" w:styleId="Contact">
    <w:name w:val="Contact"/>
    <w:basedOn w:val="Normal"/>
    <w:rsid w:val="00A73965"/>
    <w:pPr>
      <w:tabs>
        <w:tab w:val="left" w:pos="868"/>
      </w:tabs>
      <w:spacing w:line="240" w:lineRule="exact"/>
    </w:pPr>
    <w:rPr>
      <w:rFonts w:ascii="E+H Serif" w:hAnsi="E+H Serif"/>
      <w:sz w:val="19"/>
    </w:rPr>
  </w:style>
  <w:style w:type="paragraph" w:customStyle="1" w:styleId="ContactBold">
    <w:name w:val="Contact Bold"/>
    <w:basedOn w:val="Contact"/>
    <w:next w:val="Contact"/>
    <w:rsid w:val="00C31DBE"/>
    <w:rPr>
      <w:b/>
    </w:rPr>
  </w:style>
  <w:style w:type="paragraph" w:customStyle="1" w:styleId="SenderAddress">
    <w:name w:val="Sender Address"/>
    <w:basedOn w:val="Normal"/>
    <w:rsid w:val="00A73965"/>
    <w:pPr>
      <w:spacing w:line="170" w:lineRule="exact"/>
    </w:pPr>
    <w:rPr>
      <w:rFonts w:ascii="E+H Serif" w:hAnsi="E+H Serif"/>
      <w:sz w:val="13"/>
    </w:rPr>
  </w:style>
  <w:style w:type="paragraph" w:customStyle="1" w:styleId="FooterText">
    <w:name w:val="Footer Text"/>
    <w:basedOn w:val="Footer"/>
    <w:rsid w:val="00941D94"/>
    <w:pPr>
      <w:spacing w:line="170" w:lineRule="exact"/>
    </w:pPr>
    <w:rPr>
      <w:rFonts w:ascii="E+H Serif" w:hAnsi="E+H Serif"/>
      <w:sz w:val="13"/>
    </w:rPr>
  </w:style>
  <w:style w:type="paragraph" w:customStyle="1" w:styleId="FooterTextBold">
    <w:name w:val="Footer Text Bold"/>
    <w:basedOn w:val="FooterText"/>
    <w:rsid w:val="00643F00"/>
    <w:rPr>
      <w:b/>
    </w:rPr>
  </w:style>
  <w:style w:type="paragraph" w:styleId="ListParagraph">
    <w:name w:val="List Paragraph"/>
    <w:basedOn w:val="Normal"/>
    <w:uiPriority w:val="34"/>
    <w:rsid w:val="00FE371C"/>
    <w:pPr>
      <w:spacing w:after="240"/>
      <w:ind w:left="720"/>
      <w:contextualSpacing/>
    </w:pPr>
  </w:style>
  <w:style w:type="paragraph" w:styleId="ListBullet">
    <w:name w:val="List Bullet"/>
    <w:basedOn w:val="Normal"/>
    <w:uiPriority w:val="99"/>
    <w:unhideWhenUsed/>
    <w:rsid w:val="00785611"/>
    <w:pPr>
      <w:numPr>
        <w:numId w:val="8"/>
      </w:numPr>
      <w:spacing w:after="240"/>
      <w:contextualSpacing/>
    </w:pPr>
    <w:rPr>
      <w:lang w:val="en-US"/>
    </w:rPr>
  </w:style>
  <w:style w:type="paragraph" w:styleId="ListBullet2">
    <w:name w:val="List Bullet 2"/>
    <w:basedOn w:val="Normal"/>
    <w:uiPriority w:val="99"/>
    <w:unhideWhenUsed/>
    <w:rsid w:val="00785611"/>
    <w:pPr>
      <w:numPr>
        <w:numId w:val="9"/>
      </w:numPr>
      <w:spacing w:after="240"/>
      <w:contextualSpacing/>
    </w:pPr>
  </w:style>
  <w:style w:type="paragraph" w:styleId="ListBullet3">
    <w:name w:val="List Bullet 3"/>
    <w:basedOn w:val="Normal"/>
    <w:uiPriority w:val="99"/>
    <w:unhideWhenUsed/>
    <w:rsid w:val="00785611"/>
    <w:pPr>
      <w:numPr>
        <w:numId w:val="10"/>
      </w:numPr>
      <w:spacing w:after="240"/>
      <w:contextualSpacing/>
    </w:pPr>
  </w:style>
  <w:style w:type="table" w:customStyle="1" w:styleId="TableGrid1">
    <w:name w:val="Table Grid1"/>
    <w:basedOn w:val="TableNormal"/>
    <w:next w:val="TableGrid"/>
    <w:uiPriority w:val="59"/>
    <w:rsid w:val="000D1B6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Bullet4">
    <w:name w:val="List Bullet 4"/>
    <w:basedOn w:val="Normal"/>
    <w:uiPriority w:val="99"/>
    <w:unhideWhenUsed/>
    <w:rsid w:val="00785611"/>
    <w:pPr>
      <w:numPr>
        <w:numId w:val="12"/>
      </w:numPr>
      <w:spacing w:after="240"/>
      <w:contextualSpacing/>
    </w:pPr>
  </w:style>
  <w:style w:type="paragraph" w:styleId="ListBullet5">
    <w:name w:val="List Bullet 5"/>
    <w:basedOn w:val="Normal"/>
    <w:uiPriority w:val="99"/>
    <w:unhideWhenUsed/>
    <w:rsid w:val="00785611"/>
    <w:pPr>
      <w:numPr>
        <w:numId w:val="14"/>
      </w:numPr>
      <w:tabs>
        <w:tab w:val="left" w:pos="1418"/>
      </w:tabs>
      <w:spacing w:after="240"/>
      <w:contextualSpacing/>
    </w:pPr>
  </w:style>
  <w:style w:type="character" w:customStyle="1" w:styleId="Heading3Char">
    <w:name w:val="Heading 3 Char"/>
    <w:basedOn w:val="DefaultParagraphFont"/>
    <w:link w:val="Heading3"/>
    <w:uiPriority w:val="9"/>
    <w:rsid w:val="00D22087"/>
    <w:rPr>
      <w:rFonts w:asciiTheme="majorHAnsi" w:eastAsiaTheme="majorEastAsia" w:hAnsiTheme="majorHAnsi" w:cstheme="majorBidi"/>
      <w:b/>
      <w:bCs/>
      <w:lang w:val="de-DE"/>
    </w:rPr>
  </w:style>
  <w:style w:type="character" w:customStyle="1" w:styleId="Heading4Char">
    <w:name w:val="Heading 4 Char"/>
    <w:basedOn w:val="DefaultParagraphFont"/>
    <w:link w:val="Heading4"/>
    <w:uiPriority w:val="9"/>
    <w:rsid w:val="00D22087"/>
    <w:rPr>
      <w:rFonts w:asciiTheme="majorHAnsi" w:eastAsiaTheme="majorEastAsia" w:hAnsiTheme="majorHAnsi" w:cstheme="majorBidi"/>
      <w:b/>
      <w:bCs/>
      <w:iCs/>
      <w:lang w:val="de-DE"/>
    </w:rPr>
  </w:style>
  <w:style w:type="character" w:customStyle="1" w:styleId="Heading5Char">
    <w:name w:val="Heading 5 Char"/>
    <w:basedOn w:val="DefaultParagraphFont"/>
    <w:link w:val="Heading5"/>
    <w:uiPriority w:val="9"/>
    <w:rsid w:val="00D22087"/>
    <w:rPr>
      <w:rFonts w:asciiTheme="majorHAnsi" w:eastAsiaTheme="majorEastAsia" w:hAnsiTheme="majorHAnsi" w:cstheme="majorBidi"/>
      <w:b/>
      <w:lang w:val="de-DE"/>
    </w:rPr>
  </w:style>
  <w:style w:type="character" w:customStyle="1" w:styleId="Heading6Char">
    <w:name w:val="Heading 6 Char"/>
    <w:basedOn w:val="DefaultParagraphFont"/>
    <w:link w:val="Heading6"/>
    <w:uiPriority w:val="9"/>
    <w:rsid w:val="00D22087"/>
    <w:rPr>
      <w:rFonts w:asciiTheme="majorHAnsi" w:eastAsiaTheme="majorEastAsia" w:hAnsiTheme="majorHAnsi" w:cstheme="majorBidi"/>
      <w:b/>
      <w:iCs/>
      <w:lang w:val="de-DE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527E27"/>
    <w:pPr>
      <w:spacing w:line="240" w:lineRule="auto"/>
    </w:pPr>
    <w:rPr>
      <w:b/>
      <w:bCs/>
      <w:sz w:val="18"/>
      <w:szCs w:val="18"/>
    </w:rPr>
  </w:style>
  <w:style w:type="paragraph" w:styleId="TOCHeading">
    <w:name w:val="TOC Heading"/>
    <w:basedOn w:val="Normal"/>
    <w:next w:val="Normal"/>
    <w:autoRedefine/>
    <w:uiPriority w:val="39"/>
    <w:unhideWhenUsed/>
    <w:qFormat/>
    <w:rsid w:val="003A178D"/>
    <w:pPr>
      <w:spacing w:after="240"/>
    </w:pPr>
    <w:rPr>
      <w:b/>
      <w:sz w:val="28"/>
    </w:rPr>
  </w:style>
  <w:style w:type="paragraph" w:styleId="BlockText">
    <w:name w:val="Block Text"/>
    <w:basedOn w:val="Normal"/>
    <w:uiPriority w:val="99"/>
    <w:semiHidden/>
    <w:unhideWhenUsed/>
    <w:rsid w:val="00527E27"/>
    <w:pPr>
      <w:pBdr>
        <w:top w:val="single" w:sz="2" w:space="10" w:color="AED3E7" w:themeColor="accent1"/>
        <w:left w:val="single" w:sz="2" w:space="10" w:color="AED3E7" w:themeColor="accent1"/>
        <w:bottom w:val="single" w:sz="2" w:space="10" w:color="AED3E7" w:themeColor="accent1"/>
        <w:right w:val="single" w:sz="2" w:space="10" w:color="AED3E7" w:themeColor="accent1"/>
      </w:pBdr>
      <w:spacing w:after="240"/>
      <w:ind w:left="1152" w:right="1152"/>
    </w:pPr>
    <w:rPr>
      <w:rFonts w:eastAsiaTheme="minorEastAsia"/>
      <w:i/>
      <w:iCs/>
    </w:rPr>
  </w:style>
  <w:style w:type="paragraph" w:customStyle="1" w:styleId="1Headline">
    <w:name w:val="1 Headline"/>
    <w:basedOn w:val="Normal"/>
    <w:autoRedefine/>
    <w:qFormat/>
    <w:rsid w:val="00D22087"/>
    <w:pPr>
      <w:spacing w:after="480"/>
    </w:pPr>
    <w:rPr>
      <w:rFonts w:ascii="E+H Serif" w:hAnsi="E+H Serif"/>
      <w:b/>
      <w:color w:val="A8005C"/>
      <w:sz w:val="48"/>
      <w:szCs w:val="48"/>
    </w:rPr>
  </w:style>
  <w:style w:type="paragraph" w:customStyle="1" w:styleId="2Subheadline">
    <w:name w:val="2 Subheadline"/>
    <w:basedOn w:val="Normal"/>
    <w:autoRedefine/>
    <w:qFormat/>
    <w:rsid w:val="00D22087"/>
    <w:pPr>
      <w:spacing w:after="240"/>
    </w:pPr>
    <w:rPr>
      <w:rFonts w:ascii="E+H Serif" w:hAnsi="E+H Serif"/>
      <w:color w:val="506671"/>
      <w:sz w:val="28"/>
      <w:szCs w:val="28"/>
    </w:rPr>
  </w:style>
  <w:style w:type="paragraph" w:customStyle="1" w:styleId="3Lead">
    <w:name w:val="3 Lead"/>
    <w:basedOn w:val="BodyText"/>
    <w:autoRedefine/>
    <w:qFormat/>
    <w:rsid w:val="00D22087"/>
    <w:rPr>
      <w:b/>
      <w:lang w:val="de-DE"/>
    </w:rPr>
  </w:style>
  <w:style w:type="paragraph" w:customStyle="1" w:styleId="5BodyTextBold">
    <w:name w:val="5 Body Text Bold"/>
    <w:basedOn w:val="Normal"/>
    <w:autoRedefine/>
    <w:qFormat/>
    <w:rsid w:val="00606EA9"/>
    <w:pPr>
      <w:spacing w:after="0"/>
      <w:contextualSpacing/>
    </w:pPr>
    <w:rPr>
      <w:rFonts w:ascii="E+H Serif" w:hAnsi="E+H Serif"/>
      <w:b/>
    </w:rPr>
  </w:style>
  <w:style w:type="paragraph" w:customStyle="1" w:styleId="6BodyTextBullets">
    <w:name w:val="6 Body Text Bullets"/>
    <w:basedOn w:val="ListParagraph"/>
    <w:autoRedefine/>
    <w:qFormat/>
    <w:rsid w:val="00D22087"/>
    <w:pPr>
      <w:numPr>
        <w:numId w:val="15"/>
      </w:numPr>
      <w:ind w:left="284" w:hanging="284"/>
    </w:pPr>
    <w:rPr>
      <w:rFonts w:ascii="E+H Serif" w:hAnsi="E+H Serif"/>
    </w:rPr>
  </w:style>
  <w:style w:type="paragraph" w:customStyle="1" w:styleId="7BodyTextNumbering">
    <w:name w:val="7 Body Text Numbering"/>
    <w:basedOn w:val="ListParagraph"/>
    <w:autoRedefine/>
    <w:qFormat/>
    <w:rsid w:val="00D22087"/>
    <w:pPr>
      <w:numPr>
        <w:numId w:val="16"/>
      </w:numPr>
      <w:ind w:left="284" w:hanging="284"/>
    </w:pPr>
    <w:rPr>
      <w:rFonts w:ascii="E+H Serif" w:hAnsi="E+H Serif"/>
    </w:rPr>
  </w:style>
  <w:style w:type="character" w:styleId="Strong">
    <w:name w:val="Strong"/>
    <w:basedOn w:val="DefaultParagraphFont"/>
    <w:uiPriority w:val="22"/>
    <w:rsid w:val="006E0269"/>
    <w:rPr>
      <w:b/>
      <w:bCs/>
    </w:rPr>
  </w:style>
  <w:style w:type="character" w:customStyle="1" w:styleId="Heading7Char">
    <w:name w:val="Heading 7 Char"/>
    <w:basedOn w:val="DefaultParagraphFont"/>
    <w:link w:val="Heading7"/>
    <w:uiPriority w:val="9"/>
    <w:rsid w:val="00D22087"/>
    <w:rPr>
      <w:rFonts w:asciiTheme="majorHAnsi" w:eastAsiaTheme="majorEastAsia" w:hAnsiTheme="majorHAnsi" w:cstheme="majorBidi"/>
      <w:b/>
      <w:iCs/>
      <w:lang w:val="de-DE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1E069F"/>
    <w:rPr>
      <w:rFonts w:asciiTheme="majorHAnsi" w:eastAsiaTheme="majorEastAsia" w:hAnsiTheme="majorHAnsi" w:cstheme="majorBidi"/>
      <w:color w:val="404040" w:themeColor="text1" w:themeTint="BF"/>
      <w:sz w:val="20"/>
      <w:szCs w:val="20"/>
      <w:lang w:val="de-DE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1E069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de-DE"/>
    </w:rPr>
  </w:style>
  <w:style w:type="paragraph" w:styleId="TOC1">
    <w:name w:val="toc 1"/>
    <w:basedOn w:val="Normal"/>
    <w:next w:val="Normal"/>
    <w:autoRedefine/>
    <w:uiPriority w:val="39"/>
    <w:unhideWhenUsed/>
    <w:qFormat/>
    <w:rsid w:val="00802882"/>
    <w:pPr>
      <w:spacing w:after="100"/>
    </w:pPr>
    <w:rPr>
      <w:b/>
    </w:rPr>
  </w:style>
  <w:style w:type="paragraph" w:styleId="TOC2">
    <w:name w:val="toc 2"/>
    <w:basedOn w:val="Normal"/>
    <w:next w:val="Normal"/>
    <w:autoRedefine/>
    <w:uiPriority w:val="39"/>
    <w:unhideWhenUsed/>
    <w:qFormat/>
    <w:rsid w:val="00802882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qFormat/>
    <w:rsid w:val="00802882"/>
    <w:pPr>
      <w:spacing w:after="100"/>
      <w:ind w:left="440"/>
    </w:pPr>
  </w:style>
  <w:style w:type="character" w:styleId="Hyperlink">
    <w:name w:val="Hyperlink"/>
    <w:basedOn w:val="DefaultParagraphFont"/>
    <w:uiPriority w:val="99"/>
    <w:unhideWhenUsed/>
    <w:rsid w:val="00802882"/>
    <w:rPr>
      <w:color w:val="009EE3" w:themeColor="hyperlink"/>
      <w:u w:val="single"/>
    </w:rPr>
  </w:style>
  <w:style w:type="paragraph" w:styleId="TOC4">
    <w:name w:val="toc 4"/>
    <w:basedOn w:val="Normal"/>
    <w:next w:val="Normal"/>
    <w:autoRedefine/>
    <w:uiPriority w:val="39"/>
    <w:unhideWhenUsed/>
    <w:qFormat/>
    <w:rsid w:val="00802882"/>
    <w:pPr>
      <w:spacing w:after="100"/>
      <w:ind w:left="660"/>
    </w:pPr>
  </w:style>
  <w:style w:type="paragraph" w:styleId="TOC5">
    <w:name w:val="toc 5"/>
    <w:basedOn w:val="Normal"/>
    <w:next w:val="Normal"/>
    <w:autoRedefine/>
    <w:uiPriority w:val="39"/>
    <w:unhideWhenUsed/>
    <w:qFormat/>
    <w:rsid w:val="00802882"/>
    <w:pPr>
      <w:spacing w:after="100"/>
      <w:ind w:left="880"/>
    </w:pPr>
  </w:style>
  <w:style w:type="paragraph" w:customStyle="1" w:styleId="Default">
    <w:name w:val="Default"/>
    <w:rsid w:val="003D21FA"/>
    <w:pPr>
      <w:autoSpaceDE w:val="0"/>
      <w:autoSpaceDN w:val="0"/>
      <w:adjustRightInd w:val="0"/>
      <w:spacing w:after="0" w:line="240" w:lineRule="auto"/>
    </w:pPr>
    <w:rPr>
      <w:rFonts w:ascii="E+H Serif" w:hAnsi="E+H Serif" w:cs="E+H Serif"/>
      <w:color w:val="000000"/>
      <w:sz w:val="24"/>
      <w:szCs w:val="24"/>
      <w:lang w:val="de-DE"/>
    </w:rPr>
  </w:style>
  <w:style w:type="character" w:styleId="CommentReference">
    <w:name w:val="annotation reference"/>
    <w:basedOn w:val="DefaultParagraphFont"/>
    <w:uiPriority w:val="99"/>
    <w:semiHidden/>
    <w:unhideWhenUsed/>
    <w:rsid w:val="006D3CF9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6D3CF9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6D3CF9"/>
    <w:rPr>
      <w:sz w:val="20"/>
      <w:szCs w:val="20"/>
      <w:lang w:val="de-D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6D3CF9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6D3CF9"/>
    <w:rPr>
      <w:b/>
      <w:bCs/>
      <w:sz w:val="20"/>
      <w:szCs w:val="20"/>
      <w:lang w:val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5" Type="http://schemas.openxmlformats.org/officeDocument/2006/relationships/customXml" Target="../customXml/item5.xml"/><Relationship Id="rId15" Type="http://schemas.openxmlformats.org/officeDocument/2006/relationships/header" Target="header1.xml"/><Relationship Id="rId10" Type="http://schemas.openxmlformats.org/officeDocument/2006/relationships/footnotes" Target="footnotes.xml"/><Relationship Id="rId19" Type="http://schemas.openxmlformats.org/officeDocument/2006/relationships/header" Target="header3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png"/><Relationship Id="rId22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Program%20Files%20(x86)\Brandic\Word\Templates\Base.dotx" TargetMode="External"/></Relationships>
</file>

<file path=word/theme/theme1.xml><?xml version="1.0" encoding="utf-8"?>
<a:theme xmlns:a="http://schemas.openxmlformats.org/drawingml/2006/main" name="Office Theme">
  <a:themeElements>
    <a:clrScheme name="Endress+Hauser">
      <a:dk1>
        <a:srgbClr val="000000"/>
      </a:dk1>
      <a:lt1>
        <a:srgbClr val="FFFFFF"/>
      </a:lt1>
      <a:dk2>
        <a:srgbClr val="5A707A"/>
      </a:dk2>
      <a:lt2>
        <a:srgbClr val="009EE3"/>
      </a:lt2>
      <a:accent1>
        <a:srgbClr val="AED3E7"/>
      </a:accent1>
      <a:accent2>
        <a:srgbClr val="007CAA"/>
      </a:accent2>
      <a:accent3>
        <a:srgbClr val="00597A"/>
      </a:accent3>
      <a:accent4>
        <a:srgbClr val="009EE3"/>
      </a:accent4>
      <a:accent5>
        <a:srgbClr val="7B0040"/>
      </a:accent5>
      <a:accent6>
        <a:srgbClr val="5A707A"/>
      </a:accent6>
      <a:hlink>
        <a:srgbClr val="009EE3"/>
      </a:hlink>
      <a:folHlink>
        <a:srgbClr val="9EAFB8"/>
      </a:folHlink>
    </a:clrScheme>
    <a:fontScheme name="E+H Serif">
      <a:majorFont>
        <a:latin typeface="E+H Serif"/>
        <a:ea typeface=""/>
        <a:cs typeface=""/>
      </a:majorFont>
      <a:minorFont>
        <a:latin typeface="E+H Serif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CF_x0020_Document_x0020_Type xmlns="98e05e30-11e7-4d05-8d43-8987feb87434" xsi:nil="true"/>
    <PCF_x0020_Measurement_x0020_Principle xmlns="98e05e30-11e7-4d05-8d43-8987feb87434"/>
    <Project_x0020_Name xmlns="98e05e30-11e7-4d05-8d43-8987feb87434">Prosonic Flow G 300/500</Project_x0020_Name>
    <Platform xmlns="98e05e30-11e7-4d05-8d43-8987feb87434"/>
    <_Status xmlns="http://schemas.microsoft.com/sharepoint/v3/fields">Not Started</_Status>
    <PCF_x0020_Component xmlns="98e05e30-11e7-4d05-8d43-8987feb87434">Integrated Product</PCF_x0020_Component>
    <PCF_x0020_Certification xmlns="98e05e30-11e7-4d05-8d43-8987feb87434"/>
    <PCF_x0020_Required_x0020_for_x0020_Milestone xmlns="98e05e30-11e7-4d05-8d43-8987feb87434"/>
    <Project_x0020_Number xmlns="98e05e30-11e7-4d05-8d43-8987feb87434">275001837</Project_x0020_Number>
    <_dlc_DocId xmlns="74dcf968-504a-446a-93bf-0ac5743104d7">275001837-2031419459-76962</_dlc_DocId>
    <_dlc_DocIdUrl xmlns="74dcf968-504a-446a-93bf-0ac5743104d7">
      <Url>https://endresshauser.sharepoint.com/sites/pcf-pilot-03/_layouts/15/DocIdRedir.aspx?ID=275001837-2031419459-76962</Url>
      <Description>275001837-2031419459-76962</Description>
    </_dlc_DocIdUrl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LI-Document" ma:contentTypeID="0x0101000AD246B8D3A0FD41A9C44C7461B7AEB500EBCB6008BFB29A40BD343EE26C09B1D0" ma:contentTypeVersion="12" ma:contentTypeDescription="Create a new document." ma:contentTypeScope="" ma:versionID="637c7e8813aecbbf6fdd7ab7a7c20246">
  <xsd:schema xmlns:xsd="http://www.w3.org/2001/XMLSchema" xmlns:xs="http://www.w3.org/2001/XMLSchema" xmlns:p="http://schemas.microsoft.com/office/2006/metadata/properties" xmlns:ns2="98e05e30-11e7-4d05-8d43-8987feb87434" xmlns:ns3="74dcf968-504a-446a-93bf-0ac5743104d7" xmlns:ns4="http://schemas.microsoft.com/sharepoint/v3/fields" xmlns:ns5="2e093350-57e1-4393-b2e2-28f92584cd63" xmlns:ns6="6ccc53da-afa4-4861-869d-5cc16d5aeca5" targetNamespace="http://schemas.microsoft.com/office/2006/metadata/properties" ma:root="true" ma:fieldsID="8d6702e1891bc2ef8b192d7746302fe7" ns2:_="" ns3:_="" ns4:_="" ns5:_="" ns6:_="">
    <xsd:import namespace="98e05e30-11e7-4d05-8d43-8987feb87434"/>
    <xsd:import namespace="74dcf968-504a-446a-93bf-0ac5743104d7"/>
    <xsd:import namespace="http://schemas.microsoft.com/sharepoint/v3/fields"/>
    <xsd:import namespace="2e093350-57e1-4393-b2e2-28f92584cd63"/>
    <xsd:import namespace="6ccc53da-afa4-4861-869d-5cc16d5aeca5"/>
    <xsd:element name="properties">
      <xsd:complexType>
        <xsd:sequence>
          <xsd:element name="documentManagement">
            <xsd:complexType>
              <xsd:all>
                <xsd:element ref="ns2:Project_x0020_Name" minOccurs="0"/>
                <xsd:element ref="ns2:Project_x0020_Number" minOccurs="0"/>
                <xsd:element ref="ns2:PCF_x0020_Certification" minOccurs="0"/>
                <xsd:element ref="ns2:PCF_x0020_Component" minOccurs="0"/>
                <xsd:element ref="ns2:PCF_x0020_Document_x0020_Type" minOccurs="0"/>
                <xsd:element ref="ns2:PCF_x0020_Measurement_x0020_Principle" minOccurs="0"/>
                <xsd:element ref="ns2:Platform" minOccurs="0"/>
                <xsd:element ref="ns2:PCF_x0020_Required_x0020_for_x0020_Milestone" minOccurs="0"/>
                <xsd:element ref="ns3:_dlc_DocId" minOccurs="0"/>
                <xsd:element ref="ns3:_dlc_DocIdUrl" minOccurs="0"/>
                <xsd:element ref="ns3:_dlc_DocIdPersistId" minOccurs="0"/>
                <xsd:element ref="ns4:_Status" minOccurs="0"/>
                <xsd:element ref="ns5:MediaServiceDateTaken" minOccurs="0"/>
                <xsd:element ref="ns5:MediaServiceAutoTags" minOccurs="0"/>
                <xsd:element ref="ns5:MediaServiceOCR" minOccurs="0"/>
                <xsd:element ref="ns5:MediaServiceLocation" minOccurs="0"/>
                <xsd:element ref="ns6:SharedWithUsers" minOccurs="0"/>
                <xsd:element ref="ns6:SharedWithDetails" minOccurs="0"/>
                <xsd:element ref="ns5:MediaServiceEventHashCode" minOccurs="0"/>
                <xsd:element ref="ns5:MediaServiceGenerationTime" minOccurs="0"/>
                <xsd:element ref="ns5:MediaServiceAutoKeyPoints" minOccurs="0"/>
                <xsd:element ref="ns5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8e05e30-11e7-4d05-8d43-8987feb87434" elementFormDefault="qualified">
    <xsd:import namespace="http://schemas.microsoft.com/office/2006/documentManagement/types"/>
    <xsd:import namespace="http://schemas.microsoft.com/office/infopath/2007/PartnerControls"/>
    <xsd:element name="Project_x0020_Name" ma:index="8" nillable="true" ma:displayName="Project Name" ma:internalName="Project_x0020_Name">
      <xsd:simpleType>
        <xsd:restriction base="dms:Text">
          <xsd:maxLength value="255"/>
        </xsd:restriction>
      </xsd:simpleType>
    </xsd:element>
    <xsd:element name="Project_x0020_Number" ma:index="9" nillable="true" ma:displayName="Project Number" ma:decimals="0" ma:internalName="Project_x0020_Number" ma:percentage="FALSE">
      <xsd:simpleType>
        <xsd:restriction base="dms:Number"/>
      </xsd:simpleType>
    </xsd:element>
    <xsd:element name="PCF_x0020_Certification" ma:index="10" nillable="true" ma:displayName="Certification" ma:internalName="PCF_x0020_Certification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Ex"/>
                    <xsd:enumeration value="SIL"/>
                    <xsd:enumeration value="Marine"/>
                    <xsd:enumeration value="Metrology"/>
                    <xsd:enumeration value="Pressure"/>
                    <xsd:enumeration value="General Purpose"/>
                  </xsd:restriction>
                </xsd:simpleType>
              </xsd:element>
            </xsd:sequence>
          </xsd:extension>
        </xsd:complexContent>
      </xsd:complexType>
    </xsd:element>
    <xsd:element name="PCF_x0020_Component" ma:index="11" nillable="true" ma:displayName="Component" ma:format="Dropdown" ma:internalName="PCF_x0020_Component">
      <xsd:simpleType>
        <xsd:restriction base="dms:Choice">
          <xsd:enumeration value="Documentation"/>
          <xsd:enumeration value="Hardware"/>
          <xsd:enumeration value="Software"/>
          <xsd:enumeration value="Integrated Product"/>
          <xsd:enumeration value="Marketing"/>
          <xsd:enumeration value="Housing"/>
          <xsd:enumeration value="Sensor"/>
          <xsd:enumeration value="Service"/>
          <xsd:enumeration value="Project Management"/>
        </xsd:restriction>
      </xsd:simpleType>
    </xsd:element>
    <xsd:element name="PCF_x0020_Document_x0020_Type" ma:index="12" nillable="true" ma:displayName="Document Type" ma:format="Dropdown" ma:internalName="PCF_x0020_Document_x0020_Type">
      <xsd:simpleType>
        <xsd:restriction base="dms:Choice">
          <xsd:enumeration value="Report/Protocol"/>
          <xsd:enumeration value="Schedule"/>
          <xsd:enumeration value="Checklist"/>
          <xsd:enumeration value="Presentation"/>
          <xsd:enumeration value="Plan"/>
          <xsd:enumeration value="Requirement Document"/>
          <xsd:enumeration value="Simulation File"/>
        </xsd:restriction>
      </xsd:simpleType>
    </xsd:element>
    <xsd:element name="PCF_x0020_Measurement_x0020_Principle" ma:index="13" nillable="true" ma:displayName="Measurement Principle" ma:internalName="PCF_x0020_Measurement_x0020_Principle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Coriolis"/>
                    <xsd:enumeration value="MID"/>
                    <xsd:enumeration value="Ultrasonic"/>
                    <xsd:enumeration value="Thermal"/>
                    <xsd:enumeration value="Vortex"/>
                  </xsd:restriction>
                </xsd:simpleType>
              </xsd:element>
            </xsd:sequence>
          </xsd:extension>
        </xsd:complexContent>
      </xsd:complexType>
    </xsd:element>
    <xsd:element name="Platform" ma:index="14" nillable="true" ma:displayName="Platform" ma:internalName="Platform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P10"/>
                    <xsd:enumeration value="P100"/>
                    <xsd:enumeration value="P150"/>
                    <xsd:enumeration value="P200"/>
                    <xsd:enumeration value="P400"/>
                    <xsd:enumeration value="P600"/>
                    <xsd:enumeration value="P300/500"/>
                    <xsd:enumeration value="P800"/>
                    <xsd:enumeration value="ProTof"/>
                    <xsd:enumeration value="LEM"/>
                    <xsd:enumeration value="Proline 2"/>
                  </xsd:restriction>
                </xsd:simpleType>
              </xsd:element>
            </xsd:sequence>
          </xsd:extension>
        </xsd:complexContent>
      </xsd:complexType>
    </xsd:element>
    <xsd:element name="PCF_x0020_Required_x0020_for_x0020_Milestone" ma:index="15" nillable="true" ma:displayName="Required for Milestone" ma:internalName="PCF_x0020_Required_x0020_for_x0020_Milestone">
      <xsd:complexType>
        <xsd:complexContent>
          <xsd:extension base="dms:MultiChoice">
            <xsd:sequence>
              <xsd:element name="Value" maxOccurs="unbounded" minOccurs="0" nillable="true">
                <xsd:simpleType>
                  <xsd:restriction base="dms:Choice">
                    <xsd:enumeration value="MS0"/>
                    <xsd:enumeration value="MS0.5"/>
                    <xsd:enumeration value="MS1"/>
                    <xsd:enumeration value="SIPT1"/>
                    <xsd:enumeration value="SBF"/>
                    <xsd:enumeration value="MS1.5"/>
                    <xsd:enumeration value="SIPT2"/>
                    <xsd:enumeration value="MS2"/>
                    <xsd:enumeration value="AFI"/>
                    <xsd:enumeration value="AV"/>
                    <xsd:enumeration value="MS3"/>
                    <xsd:enumeration value="MS4"/>
                  </xsd:restriction>
                </xsd:simpleType>
              </xsd:element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4dcf968-504a-446a-93bf-0ac5743104d7" elementFormDefault="qualified">
    <xsd:import namespace="http://schemas.microsoft.com/office/2006/documentManagement/types"/>
    <xsd:import namespace="http://schemas.microsoft.com/office/infopath/2007/PartnerControls"/>
    <xsd:element name="_dlc_DocId" ma:index="16" nillable="true" ma:displayName="Document ID Value" ma:description="The value of the document ID assigned to this item." ma:internalName="_dlc_DocId" ma:readOnly="true">
      <xsd:simpleType>
        <xsd:restriction base="dms:Text"/>
      </xsd:simpleType>
    </xsd:element>
    <xsd:element name="_dlc_DocIdUrl" ma:index="17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8" nillable="true" ma:displayName="Persist ID" ma:description="Keep ID on add." ma:hidden="true" ma:internalName="_dlc_DocIdPersistId" ma:readOnly="true">
      <xsd:simpleType>
        <xsd:restriction base="dms:Boolea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/fields" elementFormDefault="qualified">
    <xsd:import namespace="http://schemas.microsoft.com/office/2006/documentManagement/types"/>
    <xsd:import namespace="http://schemas.microsoft.com/office/infopath/2007/PartnerControls"/>
    <xsd:element name="_Status" ma:index="19" nillable="true" ma:displayName="Status" ma:default="Not Started" ma:internalName="_Status">
      <xsd:simpleType>
        <xsd:union memberTypes="dms:Text">
          <xsd:simpleType>
            <xsd:restriction base="dms:Choice">
              <xsd:enumeration value="Not Started"/>
              <xsd:enumeration value="Draft"/>
              <xsd:enumeration value="Reviewed"/>
              <xsd:enumeration value="Scheduled"/>
              <xsd:enumeration value="Published"/>
              <xsd:enumeration value="Final"/>
              <xsd:enumeration value="Expired"/>
            </xsd:restriction>
          </xsd:simpleType>
        </xsd:un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e093350-57e1-4393-b2e2-28f92584cd63" elementFormDefault="qualified">
    <xsd:import namespace="http://schemas.microsoft.com/office/2006/documentManagement/types"/>
    <xsd:import namespace="http://schemas.microsoft.com/office/infopath/2007/PartnerControls"/>
    <xsd:element name="MediaServiceDateTaken" ma:index="20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21" nillable="true" ma:displayName="MediaServiceAutoTags" ma:internalName="MediaServiceAutoTags" ma:readOnly="true">
      <xsd:simpleType>
        <xsd:restriction base="dms:Text"/>
      </xsd:simpleType>
    </xsd:element>
    <xsd:element name="MediaServiceOCR" ma:index="22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3" nillable="true" ma:displayName="MediaServiceLocation" ma:internalName="MediaServiceLocation" ma:readOnly="true">
      <xsd:simpleType>
        <xsd:restriction base="dms:Text"/>
      </xsd:simpleType>
    </xsd:element>
    <xsd:element name="MediaServiceEventHashCode" ma:index="2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2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2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ccc53da-afa4-4861-869d-5cc16d5aeca5" elementFormDefault="qualified">
    <xsd:import namespace="http://schemas.microsoft.com/office/2006/documentManagement/types"/>
    <xsd:import namespace="http://schemas.microsoft.com/office/infopath/2007/PartnerControls"/>
    <xsd:element name="SharedWithUsers" ma:index="24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5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 ma:displayName="Status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25F7ED5-55CF-42E3-9E0C-9B86ABED0D7E}">
  <ds:schemaRefs>
    <ds:schemaRef ds:uri="http://purl.org/dc/terms/"/>
    <ds:schemaRef ds:uri="2e093350-57e1-4393-b2e2-28f92584cd63"/>
    <ds:schemaRef ds:uri="http://schemas.microsoft.com/office/2006/documentManagement/types"/>
    <ds:schemaRef ds:uri="http://schemas.microsoft.com/office/infopath/2007/PartnerControls"/>
    <ds:schemaRef ds:uri="http://purl.org/dc/elements/1.1/"/>
    <ds:schemaRef ds:uri="http://schemas.microsoft.com/office/2006/metadata/properties"/>
    <ds:schemaRef ds:uri="http://schemas.openxmlformats.org/package/2006/metadata/core-properties"/>
    <ds:schemaRef ds:uri="6ccc53da-afa4-4861-869d-5cc16d5aeca5"/>
    <ds:schemaRef ds:uri="http://schemas.microsoft.com/sharepoint/v3/fields"/>
    <ds:schemaRef ds:uri="98e05e30-11e7-4d05-8d43-8987feb87434"/>
    <ds:schemaRef ds:uri="74dcf968-504a-446a-93bf-0ac5743104d7"/>
    <ds:schemaRef ds:uri="http://www.w3.org/XML/1998/namespace"/>
    <ds:schemaRef ds:uri="http://purl.org/dc/dcmitype/"/>
  </ds:schemaRefs>
</ds:datastoreItem>
</file>

<file path=customXml/itemProps2.xml><?xml version="1.0" encoding="utf-8"?>
<ds:datastoreItem xmlns:ds="http://schemas.openxmlformats.org/officeDocument/2006/customXml" ds:itemID="{EEEF1E65-17B0-49F3-B572-23E74C360C1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98e05e30-11e7-4d05-8d43-8987feb87434"/>
    <ds:schemaRef ds:uri="74dcf968-504a-446a-93bf-0ac5743104d7"/>
    <ds:schemaRef ds:uri="http://schemas.microsoft.com/sharepoint/v3/fields"/>
    <ds:schemaRef ds:uri="2e093350-57e1-4393-b2e2-28f92584cd63"/>
    <ds:schemaRef ds:uri="6ccc53da-afa4-4861-869d-5cc16d5aeca5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5A8EA70D-D4FA-47F9-A679-42FE845D03CD}">
  <ds:schemaRefs>
    <ds:schemaRef ds:uri="http://schemas.microsoft.com/sharepoint/events"/>
  </ds:schemaRefs>
</ds:datastoreItem>
</file>

<file path=customXml/itemProps4.xml><?xml version="1.0" encoding="utf-8"?>
<ds:datastoreItem xmlns:ds="http://schemas.openxmlformats.org/officeDocument/2006/customXml" ds:itemID="{29A53817-0B30-495A-ACE7-68CD87B720F0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24827EB9-D165-4307-B8DC-A4313687D8F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Base.dotx</Template>
  <TotalTime>0</TotalTime>
  <Pages>5</Pages>
  <Words>1354</Words>
  <Characters>8532</Characters>
  <Application>Microsoft Office Word</Application>
  <DocSecurity>4</DocSecurity>
  <Lines>71</Lines>
  <Paragraphs>19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9867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Florian Kraftschik</dc:creator>
  <cp:lastModifiedBy>Susi Teichmann</cp:lastModifiedBy>
  <cp:revision>2</cp:revision>
  <cp:lastPrinted>2020-02-11T16:28:00Z</cp:lastPrinted>
  <dcterms:created xsi:type="dcterms:W3CDTF">2020-05-08T08:46:00Z</dcterms:created>
  <dcterms:modified xsi:type="dcterms:W3CDTF">2020-05-08T08:46:00Z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nguageID">
    <vt:i4>1031</vt:i4>
  </property>
  <property fmtid="{D5CDD505-2E9C-101B-9397-08002B2CF9AE}" pid="3" name="DocTypeID">
    <vt:i4>0</vt:i4>
  </property>
  <property fmtid="{D5CDD505-2E9C-101B-9397-08002B2CF9AE}" pid="4" name="EntityID">
    <vt:i4>30</vt:i4>
  </property>
  <property fmtid="{D5CDD505-2E9C-101B-9397-08002B2CF9AE}" pid="5" name="MSIP_Label_2988f0a4-524a-45f2-829d-417725fa4957_Enabled">
    <vt:lpwstr>True</vt:lpwstr>
  </property>
  <property fmtid="{D5CDD505-2E9C-101B-9397-08002B2CF9AE}" pid="6" name="MSIP_Label_2988f0a4-524a-45f2-829d-417725fa4957_SiteId">
    <vt:lpwstr>52daf2a9-3b73-4da4-ac6a-3f81adc92b7e</vt:lpwstr>
  </property>
  <property fmtid="{D5CDD505-2E9C-101B-9397-08002B2CF9AE}" pid="7" name="MSIP_Label_2988f0a4-524a-45f2-829d-417725fa4957_Owner">
    <vt:lpwstr>florian.kraftschik@endress.com</vt:lpwstr>
  </property>
  <property fmtid="{D5CDD505-2E9C-101B-9397-08002B2CF9AE}" pid="8" name="MSIP_Label_2988f0a4-524a-45f2-829d-417725fa4957_SetDate">
    <vt:lpwstr>2020-02-11T14:50:09.9348355Z</vt:lpwstr>
  </property>
  <property fmtid="{D5CDD505-2E9C-101B-9397-08002B2CF9AE}" pid="9" name="MSIP_Label_2988f0a4-524a-45f2-829d-417725fa4957_Name">
    <vt:lpwstr>Not Protected</vt:lpwstr>
  </property>
  <property fmtid="{D5CDD505-2E9C-101B-9397-08002B2CF9AE}" pid="10" name="MSIP_Label_2988f0a4-524a-45f2-829d-417725fa4957_Application">
    <vt:lpwstr>Microsoft Azure Information Protection</vt:lpwstr>
  </property>
  <property fmtid="{D5CDD505-2E9C-101B-9397-08002B2CF9AE}" pid="11" name="MSIP_Label_2988f0a4-524a-45f2-829d-417725fa4957_ActionId">
    <vt:lpwstr>3daae8f8-aaa7-4e19-bf87-45a3b871939b</vt:lpwstr>
  </property>
  <property fmtid="{D5CDD505-2E9C-101B-9397-08002B2CF9AE}" pid="12" name="MSIP_Label_2988f0a4-524a-45f2-829d-417725fa4957_Extended_MSFT_Method">
    <vt:lpwstr>Automatic</vt:lpwstr>
  </property>
  <property fmtid="{D5CDD505-2E9C-101B-9397-08002B2CF9AE}" pid="13" name="Sensitivity">
    <vt:lpwstr>Not Protected</vt:lpwstr>
  </property>
  <property fmtid="{D5CDD505-2E9C-101B-9397-08002B2CF9AE}" pid="14" name="ContentTypeId">
    <vt:lpwstr>0x0101000AD246B8D3A0FD41A9C44C7461B7AEB500EBCB6008BFB29A40BD343EE26C09B1D0</vt:lpwstr>
  </property>
  <property fmtid="{D5CDD505-2E9C-101B-9397-08002B2CF9AE}" pid="15" name="_dlc_DocIdItemGuid">
    <vt:lpwstr>07de5895-f293-40f9-807f-18e0ebec4dfe</vt:lpwstr>
  </property>
</Properties>
</file>