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F6056D" w14:textId="37697C90" w:rsidR="00B134AF" w:rsidRPr="002011FA" w:rsidRDefault="00CA1773" w:rsidP="00AC7795">
      <w:pPr>
        <w:pStyle w:val="1Headline"/>
        <w:rPr>
          <w:lang w:val="en-US"/>
        </w:rPr>
      </w:pPr>
      <w:r w:rsidRPr="002011FA">
        <w:rPr>
          <w:lang w:val="en-US"/>
        </w:rPr>
        <w:t>Digitali</w:t>
      </w:r>
      <w:r w:rsidR="00B72129">
        <w:rPr>
          <w:lang w:val="en-US"/>
        </w:rPr>
        <w:t>zation for everyone</w:t>
      </w:r>
      <w:r w:rsidRPr="002011FA">
        <w:rPr>
          <w:lang w:val="en-US"/>
        </w:rPr>
        <w:t xml:space="preserve"> </w:t>
      </w:r>
    </w:p>
    <w:p w14:paraId="683AFBF0" w14:textId="64DC7A26" w:rsidR="00B134AF" w:rsidRPr="002011FA" w:rsidRDefault="00B72129" w:rsidP="00AC7795">
      <w:pPr>
        <w:pStyle w:val="2Subheadline"/>
        <w:rPr>
          <w:lang w:val="en-US"/>
        </w:rPr>
      </w:pPr>
      <w:r>
        <w:rPr>
          <w:lang w:val="en-US"/>
        </w:rPr>
        <w:t xml:space="preserve">Wireless solution for level measurement in portable tanks </w:t>
      </w:r>
    </w:p>
    <w:p w14:paraId="39E0221F" w14:textId="3338407F" w:rsidR="00CB57FC" w:rsidRDefault="00D85151" w:rsidP="007A5F4A">
      <w:pPr>
        <w:pStyle w:val="3Lead"/>
        <w:rPr>
          <w:lang w:val="en-US"/>
        </w:rPr>
      </w:pPr>
      <w:r>
        <w:rPr>
          <w:lang w:val="en-US"/>
        </w:rPr>
        <w:t>Thanks to digitalization</w:t>
      </w:r>
      <w:r w:rsidR="00CA1773" w:rsidRPr="002011FA">
        <w:rPr>
          <w:lang w:val="en-US"/>
        </w:rPr>
        <w:t xml:space="preserve">, </w:t>
      </w:r>
      <w:r>
        <w:rPr>
          <w:lang w:val="en-US"/>
        </w:rPr>
        <w:t xml:space="preserve">production system </w:t>
      </w:r>
      <w:r w:rsidR="00CB57FC">
        <w:rPr>
          <w:lang w:val="en-US"/>
        </w:rPr>
        <w:t xml:space="preserve">users </w:t>
      </w:r>
      <w:r w:rsidR="007C7372">
        <w:rPr>
          <w:lang w:val="en-US"/>
        </w:rPr>
        <w:t>do</w:t>
      </w:r>
      <w:r w:rsidR="00322A0D">
        <w:rPr>
          <w:lang w:val="en-US"/>
        </w:rPr>
        <w:t>n’t</w:t>
      </w:r>
      <w:r w:rsidR="007C7372">
        <w:rPr>
          <w:lang w:val="en-US"/>
        </w:rPr>
        <w:t xml:space="preserve"> just </w:t>
      </w:r>
      <w:r w:rsidR="00CB57FC">
        <w:rPr>
          <w:lang w:val="en-US"/>
        </w:rPr>
        <w:t>receive more or bett</w:t>
      </w:r>
      <w:r>
        <w:rPr>
          <w:lang w:val="en-US"/>
        </w:rPr>
        <w:t>er data for analysis</w:t>
      </w:r>
      <w:r w:rsidR="00CB57FC">
        <w:rPr>
          <w:lang w:val="en-US"/>
        </w:rPr>
        <w:t xml:space="preserve">. The new solution from Endress+Hauser means they even have access to data that they have been unable to capture so far. In combination with </w:t>
      </w:r>
      <w:r w:rsidR="00B72129">
        <w:rPr>
          <w:lang w:val="en-US"/>
        </w:rPr>
        <w:t xml:space="preserve">the </w:t>
      </w:r>
      <w:r w:rsidR="00CB57FC">
        <w:rPr>
          <w:lang w:val="en-US"/>
        </w:rPr>
        <w:t>Netilion IIoT ecosystem, the FWR30 level sensor makes it possible to measure the fill levels in portable containers</w:t>
      </w:r>
      <w:r w:rsidR="005421AD">
        <w:rPr>
          <w:lang w:val="en-US"/>
        </w:rPr>
        <w:t xml:space="preserve"> where this task has not been possible until now. After one-time commissioning, the world’s first 80 GHz radar level sensor, which can be mounted on intermediate bulk containers (IBCs) in a matter of minutes, sends the measurement values to the cloud at regular intervals using wireless technology. </w:t>
      </w:r>
    </w:p>
    <w:p w14:paraId="6689C35F" w14:textId="77777777" w:rsidR="007A5F4A" w:rsidRPr="002011FA" w:rsidRDefault="00CA1773" w:rsidP="007A5F4A">
      <w:pPr>
        <w:pStyle w:val="3Lead"/>
        <w:rPr>
          <w:b w:val="0"/>
          <w:bCs/>
          <w:i/>
          <w:iCs/>
          <w:lang w:val="en-US"/>
        </w:rPr>
      </w:pPr>
      <w:r w:rsidRPr="002011FA">
        <w:rPr>
          <w:b w:val="0"/>
          <w:bCs/>
          <w:i/>
          <w:iCs/>
          <w:lang w:val="en-US"/>
        </w:rPr>
        <w:t>Au</w:t>
      </w:r>
      <w:r w:rsidR="005421AD">
        <w:rPr>
          <w:b w:val="0"/>
          <w:bCs/>
          <w:i/>
          <w:iCs/>
          <w:lang w:val="en-US"/>
        </w:rPr>
        <w:t>tho</w:t>
      </w:r>
      <w:r w:rsidRPr="002011FA">
        <w:rPr>
          <w:b w:val="0"/>
          <w:bCs/>
          <w:i/>
          <w:iCs/>
          <w:lang w:val="en-US"/>
        </w:rPr>
        <w:t>r: Florian Kraftschik, MarCom Manager Media Relations, Endress+Hauser Messtechnik GmbH+Co. KG</w:t>
      </w:r>
    </w:p>
    <w:p w14:paraId="4E18F19F" w14:textId="77777777" w:rsidR="00AC7795" w:rsidRPr="002011FA" w:rsidRDefault="00B72129" w:rsidP="00AC7795">
      <w:pPr>
        <w:pStyle w:val="5BodyTextBold"/>
        <w:rPr>
          <w:lang w:val="en-US"/>
        </w:rPr>
      </w:pPr>
      <w:r>
        <w:rPr>
          <w:lang w:val="en-US"/>
        </w:rPr>
        <w:t xml:space="preserve">Measurement values where once only assumptions were possible </w:t>
      </w:r>
    </w:p>
    <w:p w14:paraId="2DFA3FFF" w14:textId="02F61901" w:rsidR="00D85151" w:rsidRDefault="00D85151" w:rsidP="00E31792">
      <w:pPr>
        <w:rPr>
          <w:lang w:val="en-US"/>
        </w:rPr>
      </w:pPr>
      <w:r>
        <w:rPr>
          <w:lang w:val="en-US"/>
        </w:rPr>
        <w:t xml:space="preserve">The FWR30 is housed in an inconspicuous gray enclosure that is mounted on the IBC with the help of an installation kit. </w:t>
      </w:r>
      <w:r w:rsidR="002036F5">
        <w:rPr>
          <w:lang w:val="en-US"/>
        </w:rPr>
        <w:t>IBCs are stackable containers used in many countries for the storage and transport</w:t>
      </w:r>
      <w:r w:rsidR="00401956">
        <w:rPr>
          <w:lang w:val="en-US"/>
        </w:rPr>
        <w:t>ation</w:t>
      </w:r>
      <w:r w:rsidR="002036F5">
        <w:rPr>
          <w:lang w:val="en-US"/>
        </w:rPr>
        <w:t xml:space="preserve"> of liquids. They have numerous applications in the chemical and food industries and are even wid</w:t>
      </w:r>
      <w:r w:rsidR="00B72129">
        <w:rPr>
          <w:lang w:val="en-US"/>
        </w:rPr>
        <w:t>ely used in the water and waste</w:t>
      </w:r>
      <w:r w:rsidR="002036F5">
        <w:rPr>
          <w:lang w:val="en-US"/>
        </w:rPr>
        <w:t>water sector. What these containers all have in common is that they are often used at decentralized locations and are frequently transported, such as when they have to be refilled. Typical media found in IBCs includes cleaning agents, additives, concrete liquefiers or precipitators for phosphate in wastewate</w:t>
      </w:r>
      <w:r w:rsidR="00B72129">
        <w:rPr>
          <w:lang w:val="en-US"/>
        </w:rPr>
        <w:t xml:space="preserve">r treatment plants. Some of these liquids are </w:t>
      </w:r>
      <w:r w:rsidR="002036F5">
        <w:rPr>
          <w:lang w:val="en-US"/>
        </w:rPr>
        <w:t>perishable</w:t>
      </w:r>
      <w:r w:rsidR="00927E51">
        <w:rPr>
          <w:lang w:val="en-US"/>
        </w:rPr>
        <w:t xml:space="preserve"> and as a result are held only in smaller reserves.</w:t>
      </w:r>
    </w:p>
    <w:p w14:paraId="7475EE4E" w14:textId="60C15A2C" w:rsidR="00A31325" w:rsidRDefault="00A31325" w:rsidP="00E31792">
      <w:pPr>
        <w:rPr>
          <w:lang w:val="en-US"/>
        </w:rPr>
      </w:pPr>
      <w:r>
        <w:rPr>
          <w:lang w:val="en-US"/>
        </w:rPr>
        <w:t>To date, I</w:t>
      </w:r>
      <w:r w:rsidR="00B72129">
        <w:rPr>
          <w:lang w:val="en-US"/>
        </w:rPr>
        <w:t xml:space="preserve">BC operators could only approximate </w:t>
      </w:r>
      <w:r>
        <w:rPr>
          <w:lang w:val="en-US"/>
        </w:rPr>
        <w:t>the levels in the containers for these applications since they c</w:t>
      </w:r>
      <w:r w:rsidR="00B55E2A">
        <w:rPr>
          <w:lang w:val="en-US"/>
        </w:rPr>
        <w:t xml:space="preserve">ouldn’t </w:t>
      </w:r>
      <w:r>
        <w:rPr>
          <w:lang w:val="en-US"/>
        </w:rPr>
        <w:t>be automatically measured. This also applies to the suppliers and distributors responsible for ensuring the availability of the stored media in the IBCs at the production sites. I</w:t>
      </w:r>
      <w:r w:rsidR="00C75F92">
        <w:rPr>
          <w:lang w:val="en-US"/>
        </w:rPr>
        <w:t>n cases where the fill levels still needed</w:t>
      </w:r>
      <w:r>
        <w:rPr>
          <w:lang w:val="en-US"/>
        </w:rPr>
        <w:t xml:space="preserve"> to be determined, the employees had to drive to all of the IBCs and manually carry out t</w:t>
      </w:r>
      <w:r w:rsidR="00C75F92">
        <w:rPr>
          <w:lang w:val="en-US"/>
        </w:rPr>
        <w:t xml:space="preserve">he measurements, a </w:t>
      </w:r>
      <w:r>
        <w:rPr>
          <w:lang w:val="en-US"/>
        </w:rPr>
        <w:t xml:space="preserve">time-consuming activity that furthermore </w:t>
      </w:r>
      <w:r w:rsidR="00C75F92">
        <w:rPr>
          <w:lang w:val="en-US"/>
        </w:rPr>
        <w:t>supplied</w:t>
      </w:r>
      <w:r>
        <w:rPr>
          <w:lang w:val="en-US"/>
        </w:rPr>
        <w:t xml:space="preserve"> no data down to the</w:t>
      </w:r>
      <w:r w:rsidR="00B95A42">
        <w:rPr>
          <w:lang w:val="en-US"/>
        </w:rPr>
        <w:t xml:space="preserve"> </w:t>
      </w:r>
      <w:r>
        <w:rPr>
          <w:lang w:val="en-US"/>
        </w:rPr>
        <w:t>minute</w:t>
      </w:r>
      <w:r w:rsidR="00B95A42">
        <w:rPr>
          <w:lang w:val="en-US"/>
        </w:rPr>
        <w:t>, hour or even day</w:t>
      </w:r>
      <w:r>
        <w:rPr>
          <w:lang w:val="en-US"/>
        </w:rPr>
        <w:t>.</w:t>
      </w:r>
      <w:r w:rsidR="00C75F92">
        <w:rPr>
          <w:lang w:val="en-US"/>
        </w:rPr>
        <w:t xml:space="preserve"> For operators, transparency regarding the fill levels or inventories</w:t>
      </w:r>
      <w:r w:rsidR="00B72129">
        <w:rPr>
          <w:lang w:val="en-US"/>
        </w:rPr>
        <w:t xml:space="preserve"> is </w:t>
      </w:r>
      <w:r w:rsidR="00C75F92">
        <w:rPr>
          <w:lang w:val="en-US"/>
        </w:rPr>
        <w:t xml:space="preserve">important. IBCs are typically used at sites </w:t>
      </w:r>
      <w:r w:rsidR="007F325A">
        <w:rPr>
          <w:lang w:val="en-US"/>
        </w:rPr>
        <w:t>where</w:t>
      </w:r>
      <w:r w:rsidR="008F0593">
        <w:rPr>
          <w:lang w:val="en-US"/>
        </w:rPr>
        <w:t xml:space="preserve"> there is</w:t>
      </w:r>
      <w:r w:rsidR="00B72129">
        <w:rPr>
          <w:lang w:val="en-US"/>
        </w:rPr>
        <w:t xml:space="preserve"> little opportunity to carry out measurements, either due to </w:t>
      </w:r>
      <w:r w:rsidR="008F0593">
        <w:rPr>
          <w:lang w:val="en-US"/>
        </w:rPr>
        <w:t>a</w:t>
      </w:r>
      <w:r w:rsidR="00C75F92">
        <w:rPr>
          <w:lang w:val="en-US"/>
        </w:rPr>
        <w:t xml:space="preserve"> lack of cable connectivity to the process control system</w:t>
      </w:r>
      <w:r w:rsidR="008F0593">
        <w:rPr>
          <w:lang w:val="en-US"/>
        </w:rPr>
        <w:t xml:space="preserve"> or because running </w:t>
      </w:r>
      <w:r w:rsidR="009D1FF9">
        <w:rPr>
          <w:lang w:val="en-US"/>
        </w:rPr>
        <w:t xml:space="preserve">dedicated cables </w:t>
      </w:r>
      <w:r w:rsidR="008F0593">
        <w:rPr>
          <w:lang w:val="en-US"/>
        </w:rPr>
        <w:t xml:space="preserve">for the level measurements is too costly. </w:t>
      </w:r>
    </w:p>
    <w:p w14:paraId="6B4409EA" w14:textId="68EE5221" w:rsidR="00531F2E" w:rsidRDefault="009D1FF9" w:rsidP="00E31792">
      <w:pPr>
        <w:rPr>
          <w:lang w:val="en-US"/>
        </w:rPr>
      </w:pPr>
      <w:r>
        <w:rPr>
          <w:lang w:val="en-US"/>
        </w:rPr>
        <w:t>In combination with the Netilion IIoT ecosystem, the Micropilot FWR</w:t>
      </w:r>
      <w:r w:rsidR="005D1529">
        <w:rPr>
          <w:lang w:val="en-US"/>
        </w:rPr>
        <w:t xml:space="preserve">30 makes it possible to have access to the fill levels and know </w:t>
      </w:r>
      <w:r>
        <w:rPr>
          <w:lang w:val="en-US"/>
        </w:rPr>
        <w:t>where the</w:t>
      </w:r>
      <w:r w:rsidR="005D1529">
        <w:rPr>
          <w:lang w:val="en-US"/>
        </w:rPr>
        <w:t xml:space="preserve"> container is currently located, at any time and from anywhere.</w:t>
      </w:r>
      <w:r>
        <w:rPr>
          <w:lang w:val="en-US"/>
        </w:rPr>
        <w:t xml:space="preserve"> This wireless instrument runs on battery with a battery life of up to 15 years.</w:t>
      </w:r>
    </w:p>
    <w:p w14:paraId="19D19A07" w14:textId="77777777" w:rsidR="00531F2E" w:rsidRDefault="00531F2E">
      <w:pPr>
        <w:spacing w:after="200"/>
        <w:rPr>
          <w:lang w:val="en-US"/>
        </w:rPr>
      </w:pPr>
      <w:r>
        <w:rPr>
          <w:lang w:val="en-US"/>
        </w:rPr>
        <w:br w:type="page"/>
      </w:r>
    </w:p>
    <w:p w14:paraId="2C3D3F49" w14:textId="77777777" w:rsidR="00AC7795" w:rsidRPr="002011FA" w:rsidRDefault="00B72129" w:rsidP="00AC7795">
      <w:pPr>
        <w:pStyle w:val="5BodyTextBold"/>
        <w:rPr>
          <w:lang w:val="en-US"/>
        </w:rPr>
      </w:pPr>
      <w:r>
        <w:rPr>
          <w:lang w:val="en-US"/>
        </w:rPr>
        <w:lastRenderedPageBreak/>
        <w:t xml:space="preserve">Digital measurement point in three minutes </w:t>
      </w:r>
    </w:p>
    <w:p w14:paraId="44B18EF0" w14:textId="62FA9C59" w:rsidR="009D1FF9" w:rsidRDefault="009D1FF9" w:rsidP="00E31792">
      <w:pPr>
        <w:rPr>
          <w:lang w:val="en-US"/>
        </w:rPr>
      </w:pPr>
      <w:r>
        <w:rPr>
          <w:lang w:val="en-US"/>
        </w:rPr>
        <w:t>The instrument design and the wireless connectivity to the cloud via the mobile phone network makes set</w:t>
      </w:r>
      <w:r w:rsidR="00FA62A6">
        <w:rPr>
          <w:lang w:val="en-US"/>
        </w:rPr>
        <w:t>-</w:t>
      </w:r>
      <w:r>
        <w:rPr>
          <w:lang w:val="en-US"/>
        </w:rPr>
        <w:t xml:space="preserve">up and digitalization of the measurement point extremely fast and easy, even when compared to the commissioning of a conventional level measurement point connected to the process control system. </w:t>
      </w:r>
      <w:r w:rsidR="009827FB">
        <w:rPr>
          <w:lang w:val="en-US"/>
        </w:rPr>
        <w:t>After three minutes of installation and set</w:t>
      </w:r>
      <w:r w:rsidR="00FA62A6">
        <w:rPr>
          <w:lang w:val="en-US"/>
        </w:rPr>
        <w:t>-</w:t>
      </w:r>
      <w:r w:rsidR="009827FB">
        <w:rPr>
          <w:lang w:val="en-US"/>
        </w:rPr>
        <w:t xml:space="preserve">up work, the data is visually available, accessible via the cloud and </w:t>
      </w:r>
      <w:r w:rsidR="003C2907">
        <w:rPr>
          <w:lang w:val="en-US"/>
        </w:rPr>
        <w:t>ready to</w:t>
      </w:r>
      <w:r w:rsidR="009827FB">
        <w:rPr>
          <w:lang w:val="en-US"/>
        </w:rPr>
        <w:t xml:space="preserve"> be utilized by various applications. Another reason why the installation is so quick is that the instrument requires no cabling and </w:t>
      </w:r>
      <w:r w:rsidR="008F4EBF">
        <w:rPr>
          <w:lang w:val="en-US"/>
        </w:rPr>
        <w:t xml:space="preserve">operates </w:t>
      </w:r>
      <w:r w:rsidR="00FA62A6">
        <w:rPr>
          <w:lang w:val="en-US"/>
        </w:rPr>
        <w:t>entir</w:t>
      </w:r>
      <w:r w:rsidR="008F4EBF">
        <w:rPr>
          <w:lang w:val="en-US"/>
        </w:rPr>
        <w:t xml:space="preserve">ely via </w:t>
      </w:r>
      <w:r w:rsidR="009827FB">
        <w:rPr>
          <w:lang w:val="en-US"/>
        </w:rPr>
        <w:t>wireless</w:t>
      </w:r>
      <w:r w:rsidR="008F4EBF">
        <w:rPr>
          <w:lang w:val="en-US"/>
        </w:rPr>
        <w:t xml:space="preserve"> communications</w:t>
      </w:r>
      <w:r w:rsidR="009827FB">
        <w:rPr>
          <w:lang w:val="en-US"/>
        </w:rPr>
        <w:t xml:space="preserve">. If required, the instrument can also be removed from the IBC, </w:t>
      </w:r>
      <w:r w:rsidR="00FA62A6">
        <w:rPr>
          <w:lang w:val="en-US"/>
        </w:rPr>
        <w:t xml:space="preserve">for example </w:t>
      </w:r>
      <w:r w:rsidR="009827FB">
        <w:rPr>
          <w:lang w:val="en-US"/>
        </w:rPr>
        <w:t>to swap out the battery. An intelligent monitoring system for liquids can thus be established with little effort.</w:t>
      </w:r>
    </w:p>
    <w:p w14:paraId="6AC56899" w14:textId="77777777" w:rsidR="00AC7795" w:rsidRPr="002011FA" w:rsidRDefault="00B72129" w:rsidP="00AC7795">
      <w:pPr>
        <w:pStyle w:val="5BodyTextBold"/>
        <w:rPr>
          <w:lang w:val="en-US"/>
        </w:rPr>
      </w:pPr>
      <w:r>
        <w:rPr>
          <w:lang w:val="en-US"/>
        </w:rPr>
        <w:t>Level measurements via h</w:t>
      </w:r>
      <w:r w:rsidR="00CA1773" w:rsidRPr="002011FA">
        <w:rPr>
          <w:lang w:val="en-US"/>
        </w:rPr>
        <w:t>igh</w:t>
      </w:r>
      <w:r>
        <w:rPr>
          <w:lang w:val="en-US"/>
        </w:rPr>
        <w:t xml:space="preserve">-end </w:t>
      </w:r>
      <w:r w:rsidR="00CA1773" w:rsidRPr="002011FA">
        <w:rPr>
          <w:lang w:val="en-US"/>
        </w:rPr>
        <w:t>80</w:t>
      </w:r>
      <w:r>
        <w:rPr>
          <w:lang w:val="en-US"/>
        </w:rPr>
        <w:t xml:space="preserve"> GHz radar technology</w:t>
      </w:r>
    </w:p>
    <w:p w14:paraId="324AA680" w14:textId="78706C8E" w:rsidR="009827FB" w:rsidRDefault="009827FB" w:rsidP="00E31792">
      <w:pPr>
        <w:rPr>
          <w:lang w:val="en-US"/>
        </w:rPr>
      </w:pPr>
      <w:r>
        <w:rPr>
          <w:lang w:val="en-US"/>
        </w:rPr>
        <w:t xml:space="preserve">The </w:t>
      </w:r>
      <w:r w:rsidR="005D1529">
        <w:rPr>
          <w:lang w:val="en-US"/>
        </w:rPr>
        <w:t>non-contact measurement</w:t>
      </w:r>
      <w:r w:rsidR="008F4EBF">
        <w:rPr>
          <w:lang w:val="en-US"/>
        </w:rPr>
        <w:t xml:space="preserve"> is based on </w:t>
      </w:r>
      <w:r w:rsidR="005D1529">
        <w:rPr>
          <w:lang w:val="en-US"/>
        </w:rPr>
        <w:t xml:space="preserve">80 GHz radar technology. The instrument’s microwave beam penetrates the plastic </w:t>
      </w:r>
      <w:r w:rsidR="00085A21">
        <w:rPr>
          <w:lang w:val="en-US"/>
        </w:rPr>
        <w:t>tanks and supplies highly reliable measurement values. Even if foam build-up occurs in the tank, the measurements are not influenced. A</w:t>
      </w:r>
      <w:r w:rsidR="00F30E68">
        <w:rPr>
          <w:lang w:val="en-US"/>
        </w:rPr>
        <w:t xml:space="preserve">s well as </w:t>
      </w:r>
      <w:r w:rsidR="00085A21">
        <w:rPr>
          <w:lang w:val="en-US"/>
        </w:rPr>
        <w:t xml:space="preserve">the level measurement value, the instrument provides the position of the tank via the mobile phone network. The location information is reliable even when multiple IBCs are stacked on top of </w:t>
      </w:r>
      <w:r w:rsidR="00DC0EB8">
        <w:rPr>
          <w:lang w:val="en-US"/>
        </w:rPr>
        <w:t xml:space="preserve">one </w:t>
      </w:r>
      <w:r w:rsidR="00085A21">
        <w:rPr>
          <w:lang w:val="en-US"/>
        </w:rPr>
        <w:t>another. The Micropilot FWR also features a sensor for measuring the outside temperature. And the battery status is sent to the cloud as well.</w:t>
      </w:r>
    </w:p>
    <w:p w14:paraId="74E24C25" w14:textId="77777777" w:rsidR="009F1ADA" w:rsidRPr="002011FA" w:rsidRDefault="00CA1773" w:rsidP="00B51F4E">
      <w:pPr>
        <w:pStyle w:val="5BodyTextBold"/>
        <w:rPr>
          <w:lang w:val="en-US"/>
        </w:rPr>
      </w:pPr>
      <w:r w:rsidRPr="002011FA">
        <w:rPr>
          <w:lang w:val="en-US"/>
        </w:rPr>
        <w:t>Cloud</w:t>
      </w:r>
      <w:r w:rsidR="00B72129">
        <w:rPr>
          <w:lang w:val="en-US"/>
        </w:rPr>
        <w:t xml:space="preserve"> connectivity via the mobile phone network</w:t>
      </w:r>
    </w:p>
    <w:p w14:paraId="28902ADE" w14:textId="77777777" w:rsidR="00337B86" w:rsidRDefault="00337B86" w:rsidP="00E31792">
      <w:pPr>
        <w:rPr>
          <w:lang w:val="en-US"/>
        </w:rPr>
      </w:pPr>
      <w:r>
        <w:rPr>
          <w:lang w:val="en-US"/>
        </w:rPr>
        <w:t>The Micropilot FWR30 sends the data via the mobile phone network. The measurement data, as well as other information captured by the instrument, is then transferred to the cloud where it can be retrieved via mobile end-user devices or desktop PCs from anywhere and at any time. The cloud connection requires no additional equipment and no separate cabling. The solution relies on a “cloud only” approach without any connectivity to the process control system.</w:t>
      </w:r>
    </w:p>
    <w:p w14:paraId="3DC95134" w14:textId="2F6F020C" w:rsidR="009F1ADA" w:rsidRPr="002011FA" w:rsidRDefault="00CA1773" w:rsidP="00B51F4E">
      <w:pPr>
        <w:pStyle w:val="5BodyTextBold"/>
        <w:rPr>
          <w:lang w:val="en-US"/>
        </w:rPr>
      </w:pPr>
      <w:r w:rsidRPr="002011FA">
        <w:rPr>
          <w:lang w:val="en-US"/>
        </w:rPr>
        <w:t>Netilion</w:t>
      </w:r>
      <w:r w:rsidR="00B72129">
        <w:rPr>
          <w:lang w:val="en-US"/>
        </w:rPr>
        <w:t xml:space="preserve"> IIoT ecosystem</w:t>
      </w:r>
      <w:r w:rsidR="00D02C40">
        <w:rPr>
          <w:lang w:val="en-US"/>
        </w:rPr>
        <w:t>:</w:t>
      </w:r>
      <w:r w:rsidR="00B72129">
        <w:rPr>
          <w:lang w:val="en-US"/>
        </w:rPr>
        <w:t xml:space="preserve"> s</w:t>
      </w:r>
      <w:r w:rsidRPr="002011FA">
        <w:rPr>
          <w:lang w:val="en-US"/>
        </w:rPr>
        <w:t>oftware f</w:t>
      </w:r>
      <w:r w:rsidR="00B72129">
        <w:rPr>
          <w:lang w:val="en-US"/>
        </w:rPr>
        <w:t>or various application scenarios</w:t>
      </w:r>
    </w:p>
    <w:p w14:paraId="6F3D0776" w14:textId="77777777" w:rsidR="00337B86" w:rsidRDefault="00337B86" w:rsidP="00E31792">
      <w:pPr>
        <w:rPr>
          <w:lang w:val="en-US"/>
        </w:rPr>
      </w:pPr>
      <w:r>
        <w:rPr>
          <w:lang w:val="en-US"/>
        </w:rPr>
        <w:t xml:space="preserve">A vital part of the level measurement solution for mobile tanks is the Netilion IIoT ecosystem, which accesses the data stored in the cloud, processes it so that it can be </w:t>
      </w:r>
      <w:r w:rsidR="008F4EBF">
        <w:rPr>
          <w:lang w:val="en-US"/>
        </w:rPr>
        <w:t xml:space="preserve">used </w:t>
      </w:r>
      <w:r>
        <w:rPr>
          <w:lang w:val="en-US"/>
        </w:rPr>
        <w:t xml:space="preserve">for various application scenarios and also utilizes it as a basis for further calculations. </w:t>
      </w:r>
      <w:r w:rsidR="00826DF9">
        <w:rPr>
          <w:lang w:val="en-US"/>
        </w:rPr>
        <w:t xml:space="preserve">The Netilion applications are offered as part of a “freemium” model, allowing users to connect up to five measurement points at no charge. Costs are incurred for additional measurement points. </w:t>
      </w:r>
    </w:p>
    <w:p w14:paraId="13543653" w14:textId="50AE552F" w:rsidR="00B51F4E" w:rsidRPr="002011FA" w:rsidRDefault="00826DF9" w:rsidP="00E31792">
      <w:pPr>
        <w:rPr>
          <w:lang w:val="en-US"/>
        </w:rPr>
      </w:pPr>
      <w:r>
        <w:rPr>
          <w:lang w:val="en-US"/>
        </w:rPr>
        <w:t>Users enjoy the flexibility to choose from a broad service portfolio consisting of three modules</w:t>
      </w:r>
      <w:r w:rsidR="00FB596E">
        <w:rPr>
          <w:lang w:val="en-US"/>
        </w:rPr>
        <w:t xml:space="preserve">: </w:t>
      </w:r>
      <w:r w:rsidR="00CA1773" w:rsidRPr="002011FA">
        <w:rPr>
          <w:lang w:val="en-US"/>
        </w:rPr>
        <w:t>Netilion Value, Netilion Inventory (</w:t>
      </w:r>
      <w:r w:rsidR="00D02C40">
        <w:rPr>
          <w:lang w:val="en-US"/>
        </w:rPr>
        <w:t xml:space="preserve">coming </w:t>
      </w:r>
      <w:r>
        <w:rPr>
          <w:lang w:val="en-US"/>
        </w:rPr>
        <w:t>soon</w:t>
      </w:r>
      <w:r w:rsidR="00CA1773" w:rsidRPr="002011FA">
        <w:rPr>
          <w:lang w:val="en-US"/>
        </w:rPr>
        <w:t xml:space="preserve">) </w:t>
      </w:r>
      <w:r>
        <w:rPr>
          <w:lang w:val="en-US"/>
        </w:rPr>
        <w:t>a</w:t>
      </w:r>
      <w:r w:rsidR="00CA1773" w:rsidRPr="002011FA">
        <w:rPr>
          <w:lang w:val="en-US"/>
        </w:rPr>
        <w:t>nd SupplyCare Hosting</w:t>
      </w:r>
      <w:r w:rsidR="00FB596E">
        <w:rPr>
          <w:lang w:val="en-US"/>
        </w:rPr>
        <w:t xml:space="preserve">. They can also </w:t>
      </w:r>
      <w:r>
        <w:rPr>
          <w:lang w:val="en-US"/>
        </w:rPr>
        <w:t xml:space="preserve">successively adapt the services to their own needs. </w:t>
      </w:r>
      <w:r w:rsidR="00CA1773" w:rsidRPr="002011FA">
        <w:rPr>
          <w:lang w:val="en-US"/>
        </w:rPr>
        <w:t xml:space="preserve"> </w:t>
      </w:r>
    </w:p>
    <w:p w14:paraId="20B4DCC1" w14:textId="5E61EDFD" w:rsidR="008D3973" w:rsidRPr="002011FA" w:rsidRDefault="00CA1773" w:rsidP="00B51F4E">
      <w:pPr>
        <w:pStyle w:val="5BodyTextBold"/>
        <w:rPr>
          <w:lang w:val="en-US"/>
        </w:rPr>
      </w:pPr>
      <w:r w:rsidRPr="002011FA">
        <w:rPr>
          <w:lang w:val="en-US"/>
        </w:rPr>
        <w:t>Netilion Value</w:t>
      </w:r>
      <w:r w:rsidR="00D02C40">
        <w:rPr>
          <w:lang w:val="en-US"/>
        </w:rPr>
        <w:t>:</w:t>
      </w:r>
      <w:r w:rsidR="00B72129">
        <w:rPr>
          <w:lang w:val="en-US"/>
        </w:rPr>
        <w:t xml:space="preserve"> overview of the measurement values and instrument parameters</w:t>
      </w:r>
      <w:r w:rsidRPr="002011FA">
        <w:rPr>
          <w:lang w:val="en-US"/>
        </w:rPr>
        <w:t xml:space="preserve"> </w:t>
      </w:r>
    </w:p>
    <w:p w14:paraId="5585A058" w14:textId="2C988686" w:rsidR="003303B0" w:rsidRDefault="00FB596E">
      <w:pPr>
        <w:rPr>
          <w:lang w:val="en-US"/>
        </w:rPr>
      </w:pPr>
      <w:r>
        <w:rPr>
          <w:lang w:val="en-US"/>
        </w:rPr>
        <w:t>The simplest application scenario is the digitalization of the level measurement point to maintain an overview of the measurement values in v</w:t>
      </w:r>
      <w:r w:rsidR="008F4EBF">
        <w:rPr>
          <w:lang w:val="en-US"/>
        </w:rPr>
        <w:t xml:space="preserve">arious IBCs. These applications, which </w:t>
      </w:r>
      <w:r>
        <w:rPr>
          <w:lang w:val="en-US"/>
        </w:rPr>
        <w:t xml:space="preserve">are covered by the </w:t>
      </w:r>
      <w:r w:rsidR="00CA1773" w:rsidRPr="002011FA">
        <w:rPr>
          <w:lang w:val="en-US"/>
        </w:rPr>
        <w:t xml:space="preserve">Netilion Value </w:t>
      </w:r>
      <w:r>
        <w:rPr>
          <w:lang w:val="en-US"/>
        </w:rPr>
        <w:t>module</w:t>
      </w:r>
      <w:r w:rsidR="008F4EBF">
        <w:rPr>
          <w:lang w:val="en-US"/>
        </w:rPr>
        <w:t xml:space="preserve">, </w:t>
      </w:r>
      <w:r w:rsidR="003303B0">
        <w:rPr>
          <w:lang w:val="en-US"/>
        </w:rPr>
        <w:t>involve simply bringing the measurement points into operation, after which the fill levels can be visualized</w:t>
      </w:r>
      <w:r w:rsidR="008F4EBF">
        <w:rPr>
          <w:lang w:val="en-US"/>
        </w:rPr>
        <w:t xml:space="preserve"> </w:t>
      </w:r>
      <w:r w:rsidR="005E6265">
        <w:rPr>
          <w:lang w:val="en-US"/>
        </w:rPr>
        <w:t>clearly</w:t>
      </w:r>
      <w:r w:rsidR="003303B0">
        <w:rPr>
          <w:lang w:val="en-US"/>
        </w:rPr>
        <w:t>. The functions range from information regarding the current measurement val</w:t>
      </w:r>
      <w:r w:rsidR="001F6651">
        <w:rPr>
          <w:lang w:val="en-US"/>
        </w:rPr>
        <w:t>ues to historical data that allow</w:t>
      </w:r>
      <w:r w:rsidR="004616AE">
        <w:rPr>
          <w:lang w:val="en-US"/>
        </w:rPr>
        <w:t>s</w:t>
      </w:r>
      <w:r w:rsidR="001F6651">
        <w:rPr>
          <w:lang w:val="en-US"/>
        </w:rPr>
        <w:t xml:space="preserve"> users to track the development of the fill levels</w:t>
      </w:r>
      <w:r w:rsidR="003303B0">
        <w:rPr>
          <w:lang w:val="en-US"/>
        </w:rPr>
        <w:t xml:space="preserve"> over </w:t>
      </w:r>
      <w:r w:rsidR="003303B0">
        <w:rPr>
          <w:lang w:val="en-US"/>
        </w:rPr>
        <w:lastRenderedPageBreak/>
        <w:t xml:space="preserve">time. Information related to the position of the tanks, instrument and battery status, as well as the ambient temperature, can be retrieved as well. </w:t>
      </w:r>
      <w:r w:rsidR="005B7FCA">
        <w:rPr>
          <w:lang w:val="en-US"/>
        </w:rPr>
        <w:t>Fill level alarms can also be set up so that users are notified if the minimum or maximum levels, which users have the freedom to configure, have been reached. Additional measurements points can be added with just a few clicks. The data is then</w:t>
      </w:r>
      <w:r w:rsidR="008F4EBF">
        <w:rPr>
          <w:lang w:val="en-US"/>
        </w:rPr>
        <w:t xml:space="preserve"> immediately available right </w:t>
      </w:r>
      <w:r w:rsidR="005B7FCA">
        <w:rPr>
          <w:lang w:val="en-US"/>
        </w:rPr>
        <w:t xml:space="preserve">after commissioning. </w:t>
      </w:r>
    </w:p>
    <w:p w14:paraId="02652DB5" w14:textId="726D82E4" w:rsidR="008D3973" w:rsidRPr="002011FA" w:rsidRDefault="00CA1773" w:rsidP="00B51F4E">
      <w:pPr>
        <w:pStyle w:val="5BodyTextBold"/>
        <w:rPr>
          <w:lang w:val="en-US"/>
        </w:rPr>
      </w:pPr>
      <w:r w:rsidRPr="002011FA">
        <w:rPr>
          <w:lang w:val="en-US"/>
        </w:rPr>
        <w:t>Netilion Inventory</w:t>
      </w:r>
      <w:r w:rsidR="00D02C40">
        <w:rPr>
          <w:lang w:val="en-US"/>
        </w:rPr>
        <w:t>:</w:t>
      </w:r>
      <w:r w:rsidR="00B72129">
        <w:rPr>
          <w:lang w:val="en-US"/>
        </w:rPr>
        <w:t xml:space="preserve"> simple and clear inventory management</w:t>
      </w:r>
    </w:p>
    <w:p w14:paraId="7E973525" w14:textId="5F889162" w:rsidR="004C421D" w:rsidRDefault="001F6651" w:rsidP="002011FA">
      <w:pPr>
        <w:rPr>
          <w:lang w:val="en-US"/>
        </w:rPr>
      </w:pPr>
      <w:r>
        <w:rPr>
          <w:lang w:val="en-US"/>
        </w:rPr>
        <w:t xml:space="preserve">Compared to Netilion Value, Netilion Inventory offers expanded functionality. Beyond the simple display of measurement values, Netilion Inventory also enables simple and clear inventory management, </w:t>
      </w:r>
      <w:r w:rsidR="004C421D">
        <w:rPr>
          <w:lang w:val="en-US"/>
        </w:rPr>
        <w:t>which is realized with a function for calculating the volume of the IBCs. Netilion Inventory can also generate forecasts for calculating free storage capacity. This application thus offers more information about the status of tanks, silos and containers.</w:t>
      </w:r>
    </w:p>
    <w:p w14:paraId="09DEB5B9" w14:textId="6E435837" w:rsidR="008D3973" w:rsidRPr="002011FA" w:rsidRDefault="00CA1773" w:rsidP="00B51F4E">
      <w:pPr>
        <w:pStyle w:val="5BodyTextBold"/>
        <w:rPr>
          <w:lang w:val="en-US"/>
        </w:rPr>
      </w:pPr>
      <w:r w:rsidRPr="002011FA">
        <w:rPr>
          <w:lang w:val="en-US"/>
        </w:rPr>
        <w:t>SupplyCare Hosting</w:t>
      </w:r>
      <w:r w:rsidR="00D02C40">
        <w:rPr>
          <w:lang w:val="en-US"/>
        </w:rPr>
        <w:t>:</w:t>
      </w:r>
      <w:r w:rsidR="004D7764">
        <w:rPr>
          <w:lang w:val="en-US"/>
        </w:rPr>
        <w:t xml:space="preserve"> profit tool for comprehensive inventory management </w:t>
      </w:r>
    </w:p>
    <w:p w14:paraId="3FEE2631" w14:textId="160DC1F5" w:rsidR="00856AA9" w:rsidRDefault="004C421D">
      <w:pPr>
        <w:rPr>
          <w:lang w:val="en-US"/>
        </w:rPr>
      </w:pPr>
      <w:r>
        <w:rPr>
          <w:lang w:val="en-US"/>
        </w:rPr>
        <w:t>Users who are looking to monitor more complex logistics chains and forward the measurement data to third parties</w:t>
      </w:r>
      <w:r w:rsidR="00D912D1">
        <w:rPr>
          <w:lang w:val="en-US"/>
        </w:rPr>
        <w:t>,</w:t>
      </w:r>
      <w:r>
        <w:rPr>
          <w:lang w:val="en-US"/>
        </w:rPr>
        <w:t xml:space="preserve"> such as suppliers, customers or partners, will find a high-performance tool</w:t>
      </w:r>
      <w:r w:rsidR="008F4EBF">
        <w:rPr>
          <w:lang w:val="en-US"/>
        </w:rPr>
        <w:t xml:space="preserve"> in</w:t>
      </w:r>
      <w:r>
        <w:rPr>
          <w:lang w:val="en-US"/>
        </w:rPr>
        <w:t xml:space="preserve"> the </w:t>
      </w:r>
      <w:r w:rsidR="00CA1773" w:rsidRPr="002011FA">
        <w:rPr>
          <w:lang w:val="en-US"/>
        </w:rPr>
        <w:t xml:space="preserve">SupplyCare Hosting </w:t>
      </w:r>
      <w:r>
        <w:rPr>
          <w:lang w:val="en-US"/>
        </w:rPr>
        <w:t>module</w:t>
      </w:r>
      <w:r w:rsidR="00CA1773" w:rsidRPr="002011FA">
        <w:rPr>
          <w:lang w:val="en-US"/>
        </w:rPr>
        <w:t xml:space="preserve">. </w:t>
      </w:r>
      <w:r>
        <w:rPr>
          <w:lang w:val="en-US"/>
        </w:rPr>
        <w:t xml:space="preserve">It offers a range of functions beyond what is available with </w:t>
      </w:r>
      <w:r w:rsidR="00CA1773" w:rsidRPr="002011FA">
        <w:rPr>
          <w:lang w:val="en-US"/>
        </w:rPr>
        <w:t xml:space="preserve">Netilion Value </w:t>
      </w:r>
      <w:r>
        <w:rPr>
          <w:lang w:val="en-US"/>
        </w:rPr>
        <w:t>a</w:t>
      </w:r>
      <w:r w:rsidR="00CA1773" w:rsidRPr="002011FA">
        <w:rPr>
          <w:lang w:val="en-US"/>
        </w:rPr>
        <w:t>nd Netilion Inventory</w:t>
      </w:r>
      <w:r w:rsidR="008F4EBF">
        <w:rPr>
          <w:lang w:val="en-US"/>
        </w:rPr>
        <w:t>, including</w:t>
      </w:r>
      <w:r w:rsidR="00856AA9">
        <w:rPr>
          <w:lang w:val="en-US"/>
        </w:rPr>
        <w:t xml:space="preserve"> rol</w:t>
      </w:r>
      <w:r w:rsidR="002908B2">
        <w:rPr>
          <w:lang w:val="en-US"/>
        </w:rPr>
        <w:t>e</w:t>
      </w:r>
      <w:r w:rsidR="00856AA9">
        <w:rPr>
          <w:lang w:val="en-US"/>
        </w:rPr>
        <w:t xml:space="preserve">-based user management and the ability to configure third-party access rights. Apart from displaying the event history, </w:t>
      </w:r>
      <w:r w:rsidR="00CA1773" w:rsidRPr="002011FA">
        <w:rPr>
          <w:lang w:val="en-US"/>
        </w:rPr>
        <w:t>SupplyCare Hosting a</w:t>
      </w:r>
      <w:r w:rsidR="00856AA9">
        <w:rPr>
          <w:lang w:val="en-US"/>
        </w:rPr>
        <w:t xml:space="preserve">lso provides an overview and analysis of the key parameters such as average inventory, efficiency or the inventory turnover of the transported liquids. To increase the efficiency of the logistics processes, SupplyCare Hosting enables user-friendly requirements planning. Another feature of this software solution is that the data can be synchronized with all common ERP systems. </w:t>
      </w:r>
    </w:p>
    <w:p w14:paraId="2E3BF12E" w14:textId="4A5FFC9D" w:rsidR="007A7CA8" w:rsidRPr="002011FA" w:rsidRDefault="004D7764">
      <w:pPr>
        <w:pStyle w:val="5BodyTextBold"/>
        <w:rPr>
          <w:lang w:val="en-US"/>
        </w:rPr>
      </w:pPr>
      <w:r>
        <w:rPr>
          <w:lang w:val="en-US"/>
        </w:rPr>
        <w:t xml:space="preserve">Digitalizing measurement points </w:t>
      </w:r>
      <w:r w:rsidR="00D02C40">
        <w:rPr>
          <w:lang w:val="en-US"/>
        </w:rPr>
        <w:t xml:space="preserve">has never been </w:t>
      </w:r>
      <w:r>
        <w:rPr>
          <w:lang w:val="en-US"/>
        </w:rPr>
        <w:t xml:space="preserve">so easy </w:t>
      </w:r>
    </w:p>
    <w:p w14:paraId="4CA04136" w14:textId="2292B01F" w:rsidR="00716D20" w:rsidRDefault="00716D20" w:rsidP="00E31792">
      <w:pPr>
        <w:rPr>
          <w:lang w:val="en-US"/>
        </w:rPr>
      </w:pPr>
      <w:r>
        <w:rPr>
          <w:lang w:val="en-US"/>
        </w:rPr>
        <w:t xml:space="preserve">The wireless solution recently introduced by Endress+Hauser for the digitalization of level measurements using the 80 GHz radar-based FWR30 in conjunction with the Netilion IIoT ecosystem </w:t>
      </w:r>
      <w:r w:rsidR="004D7764">
        <w:rPr>
          <w:lang w:val="en-US"/>
        </w:rPr>
        <w:t>is remarkably simple. The modular offering provides scalable solutions for various application scenarios, especially for portable IBCs. This allows the secure transfer of information regarding the fill levels, position of the tanks, outside temperature and instrument and battery status to the cloud, where it can be retrieved at any time and from anywhere. The solution is thus well</w:t>
      </w:r>
      <w:r w:rsidR="00DE4559">
        <w:rPr>
          <w:lang w:val="en-US"/>
        </w:rPr>
        <w:t xml:space="preserve"> </w:t>
      </w:r>
      <w:r w:rsidR="004D7764">
        <w:rPr>
          <w:lang w:val="en-US"/>
        </w:rPr>
        <w:t>suited for the cost-effective digitalization of level measurement points and supplies reliable data where once only assumptions were possible.</w:t>
      </w:r>
    </w:p>
    <w:p w14:paraId="3AF283BE" w14:textId="784945E2" w:rsidR="001A1260" w:rsidRDefault="001A1260">
      <w:pPr>
        <w:rPr>
          <w:lang w:val="en-US"/>
        </w:rPr>
      </w:pPr>
    </w:p>
    <w:p w14:paraId="2E0AEF88" w14:textId="7493F4C4" w:rsidR="00674ED4" w:rsidRDefault="00674ED4">
      <w:pPr>
        <w:rPr>
          <w:lang w:val="en-US"/>
        </w:rPr>
      </w:pPr>
    </w:p>
    <w:p w14:paraId="13149CAB" w14:textId="77777777" w:rsidR="00674ED4" w:rsidRPr="00F27777" w:rsidRDefault="00674ED4" w:rsidP="00674ED4">
      <w:pPr>
        <w:rPr>
          <w:lang w:val="en-US"/>
        </w:rPr>
      </w:pPr>
    </w:p>
    <w:p w14:paraId="18CAF5B6" w14:textId="77777777" w:rsidR="00674ED4" w:rsidRPr="00F27777" w:rsidRDefault="00674ED4" w:rsidP="00674ED4">
      <w:pPr>
        <w:rPr>
          <w:lang w:val="en-US"/>
        </w:rPr>
      </w:pPr>
    </w:p>
    <w:p w14:paraId="3D40F353" w14:textId="77777777" w:rsidR="00674ED4" w:rsidRPr="00247881" w:rsidRDefault="00674ED4" w:rsidP="00674ED4">
      <w:r w:rsidRPr="00247881">
        <w:rPr>
          <w:noProof/>
        </w:rPr>
        <w:lastRenderedPageBreak/>
        <w:drawing>
          <wp:inline distT="0" distB="0" distL="0" distR="0" wp14:anchorId="5A35870E" wp14:editId="6C8DE576">
            <wp:extent cx="4264375" cy="2846567"/>
            <wp:effectExtent l="0" t="0" r="317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72610" cy="2852064"/>
                    </a:xfrm>
                    <a:prstGeom prst="rect">
                      <a:avLst/>
                    </a:prstGeom>
                    <a:noFill/>
                    <a:ln>
                      <a:noFill/>
                    </a:ln>
                  </pic:spPr>
                </pic:pic>
              </a:graphicData>
            </a:graphic>
          </wp:inline>
        </w:drawing>
      </w:r>
    </w:p>
    <w:p w14:paraId="48425C10" w14:textId="1EF56127" w:rsidR="00674ED4" w:rsidRDefault="00674ED4" w:rsidP="00674ED4">
      <w:pPr>
        <w:rPr>
          <w:lang w:val="en-US"/>
        </w:rPr>
      </w:pPr>
      <w:r w:rsidRPr="00F27777">
        <w:rPr>
          <w:lang w:val="en-US"/>
        </w:rPr>
        <w:t>EH_FWR30_1.jpg</w:t>
      </w:r>
      <w:r w:rsidR="00F27777">
        <w:rPr>
          <w:lang w:val="en-US"/>
        </w:rPr>
        <w:br/>
      </w:r>
      <w:r w:rsidRPr="00674ED4">
        <w:rPr>
          <w:lang w:val="en-US"/>
        </w:rPr>
        <w:t>The FWR30 level gauge, in conjunction with the IIoT ecosystem Netilion, enables measurement in levels in mobile containers.</w:t>
      </w:r>
    </w:p>
    <w:p w14:paraId="37967CE7" w14:textId="6473C466" w:rsidR="00674ED4" w:rsidRPr="00674ED4" w:rsidRDefault="00674ED4" w:rsidP="00674ED4">
      <w:pPr>
        <w:rPr>
          <w:lang w:val="en-US"/>
        </w:rPr>
      </w:pPr>
      <w:r w:rsidRPr="00247881">
        <w:rPr>
          <w:noProof/>
        </w:rPr>
        <w:drawing>
          <wp:inline distT="0" distB="0" distL="0" distR="0" wp14:anchorId="3B9503BE" wp14:editId="2AA96AC1">
            <wp:extent cx="4264025" cy="2844517"/>
            <wp:effectExtent l="0" t="0" r="3175" b="0"/>
            <wp:docPr id="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01336" cy="2869407"/>
                    </a:xfrm>
                    <a:prstGeom prst="rect">
                      <a:avLst/>
                    </a:prstGeom>
                    <a:noFill/>
                    <a:ln>
                      <a:noFill/>
                    </a:ln>
                  </pic:spPr>
                </pic:pic>
              </a:graphicData>
            </a:graphic>
          </wp:inline>
        </w:drawing>
      </w:r>
    </w:p>
    <w:p w14:paraId="724A0621" w14:textId="093A2310" w:rsidR="00674ED4" w:rsidRDefault="00674ED4" w:rsidP="00674ED4">
      <w:pPr>
        <w:rPr>
          <w:lang w:val="en-US"/>
        </w:rPr>
      </w:pPr>
      <w:r w:rsidRPr="00674ED4">
        <w:rPr>
          <w:lang w:val="en-US"/>
        </w:rPr>
        <w:t>EH_FWR30_2.jpg</w:t>
      </w:r>
      <w:r>
        <w:rPr>
          <w:lang w:val="en-US"/>
        </w:rPr>
        <w:t xml:space="preserve"> </w:t>
      </w:r>
      <w:r w:rsidR="00F27777">
        <w:rPr>
          <w:lang w:val="en-US"/>
        </w:rPr>
        <w:br/>
      </w:r>
      <w:r w:rsidRPr="00674ED4">
        <w:rPr>
          <w:lang w:val="en-US"/>
        </w:rPr>
        <w:t>The measuring device is installed on the IBCs using a mounting kit</w:t>
      </w:r>
      <w:r>
        <w:rPr>
          <w:lang w:val="en-US"/>
        </w:rPr>
        <w:t>.</w:t>
      </w:r>
    </w:p>
    <w:p w14:paraId="20E2321C" w14:textId="073C9624" w:rsidR="00674ED4" w:rsidRPr="00674ED4" w:rsidRDefault="00674ED4" w:rsidP="00674ED4">
      <w:pPr>
        <w:rPr>
          <w:lang w:val="en-US"/>
        </w:rPr>
      </w:pPr>
      <w:r w:rsidRPr="00674ED4">
        <w:rPr>
          <w:lang w:val="en-US"/>
        </w:rPr>
        <w:lastRenderedPageBreak/>
        <w:t>.</w:t>
      </w:r>
      <w:r w:rsidRPr="00247881">
        <w:rPr>
          <w:noProof/>
        </w:rPr>
        <w:drawing>
          <wp:inline distT="0" distB="0" distL="0" distR="0" wp14:anchorId="20E9D39C" wp14:editId="4567CC4E">
            <wp:extent cx="4015408" cy="2814394"/>
            <wp:effectExtent l="0" t="0" r="4445" b="508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37891" cy="2830152"/>
                    </a:xfrm>
                    <a:prstGeom prst="rect">
                      <a:avLst/>
                    </a:prstGeom>
                    <a:noFill/>
                    <a:ln>
                      <a:noFill/>
                    </a:ln>
                  </pic:spPr>
                </pic:pic>
              </a:graphicData>
            </a:graphic>
          </wp:inline>
        </w:drawing>
      </w:r>
    </w:p>
    <w:p w14:paraId="23E276C8" w14:textId="762528C6" w:rsidR="00674ED4" w:rsidRPr="00674ED4" w:rsidRDefault="00674ED4" w:rsidP="00674ED4">
      <w:pPr>
        <w:rPr>
          <w:lang w:val="en-US"/>
        </w:rPr>
      </w:pPr>
      <w:r w:rsidRPr="00F27777">
        <w:rPr>
          <w:lang w:val="en-US"/>
        </w:rPr>
        <w:t>EH_FWR30_3.jpg</w:t>
      </w:r>
      <w:r w:rsidR="00F27777">
        <w:rPr>
          <w:lang w:val="en-US"/>
        </w:rPr>
        <w:br/>
      </w:r>
      <w:r w:rsidRPr="00674ED4">
        <w:rPr>
          <w:lang w:val="en-US"/>
        </w:rPr>
        <w:t>The Micropilot FWR30 works completely wireless, no cabling is necessary</w:t>
      </w:r>
      <w:r>
        <w:rPr>
          <w:lang w:val="en-US"/>
        </w:rPr>
        <w:t>.</w:t>
      </w:r>
      <w:r w:rsidRPr="00247881">
        <w:rPr>
          <w:noProof/>
        </w:rPr>
        <w:drawing>
          <wp:inline distT="0" distB="0" distL="0" distR="0" wp14:anchorId="3A15B4DD" wp14:editId="74CEEB8C">
            <wp:extent cx="4881230" cy="3212327"/>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12362" cy="3232815"/>
                    </a:xfrm>
                    <a:prstGeom prst="rect">
                      <a:avLst/>
                    </a:prstGeom>
                    <a:noFill/>
                    <a:ln>
                      <a:noFill/>
                    </a:ln>
                  </pic:spPr>
                </pic:pic>
              </a:graphicData>
            </a:graphic>
          </wp:inline>
        </w:drawing>
      </w:r>
    </w:p>
    <w:p w14:paraId="57E42705" w14:textId="446D4A77" w:rsidR="00674ED4" w:rsidRDefault="00674ED4" w:rsidP="00674ED4">
      <w:pPr>
        <w:spacing w:after="0"/>
        <w:rPr>
          <w:lang w:val="en-US"/>
        </w:rPr>
      </w:pPr>
      <w:r w:rsidRPr="00674ED4">
        <w:rPr>
          <w:lang w:val="en-US"/>
        </w:rPr>
        <w:t>EH_Netilion_value.png</w:t>
      </w:r>
    </w:p>
    <w:p w14:paraId="4DBF4C67" w14:textId="582255DB" w:rsidR="00674ED4" w:rsidRDefault="00674ED4" w:rsidP="00674ED4">
      <w:pPr>
        <w:spacing w:after="0"/>
        <w:rPr>
          <w:lang w:val="en-US"/>
        </w:rPr>
      </w:pPr>
      <w:r w:rsidRPr="00674ED4">
        <w:rPr>
          <w:lang w:val="en-US"/>
        </w:rPr>
        <w:t>With Netilion Value levels can be displayed quickly and clearly even from several measuring points</w:t>
      </w:r>
      <w:r>
        <w:rPr>
          <w:lang w:val="en-US"/>
        </w:rPr>
        <w:t>.</w:t>
      </w:r>
    </w:p>
    <w:p w14:paraId="787C9358" w14:textId="1FA7C165" w:rsidR="00674ED4" w:rsidRPr="00674ED4" w:rsidRDefault="00674ED4" w:rsidP="00674ED4">
      <w:pPr>
        <w:spacing w:after="0"/>
        <w:rPr>
          <w:lang w:val="en-US"/>
        </w:rPr>
      </w:pPr>
      <w:r w:rsidRPr="00247881">
        <w:rPr>
          <w:noProof/>
        </w:rPr>
        <w:lastRenderedPageBreak/>
        <w:drawing>
          <wp:inline distT="0" distB="0" distL="0" distR="0" wp14:anchorId="36FF51C7" wp14:editId="7BF10A4B">
            <wp:extent cx="4397071" cy="2893702"/>
            <wp:effectExtent l="0" t="0" r="0" b="190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22223" cy="2910254"/>
                    </a:xfrm>
                    <a:prstGeom prst="rect">
                      <a:avLst/>
                    </a:prstGeom>
                    <a:noFill/>
                    <a:ln>
                      <a:noFill/>
                    </a:ln>
                  </pic:spPr>
                </pic:pic>
              </a:graphicData>
            </a:graphic>
          </wp:inline>
        </w:drawing>
      </w:r>
    </w:p>
    <w:p w14:paraId="14A31507" w14:textId="3C546DFD" w:rsidR="00674ED4" w:rsidRPr="00674ED4" w:rsidRDefault="00674ED4" w:rsidP="00674ED4">
      <w:pPr>
        <w:rPr>
          <w:lang w:val="en-US"/>
        </w:rPr>
      </w:pPr>
      <w:r w:rsidRPr="00F27777">
        <w:rPr>
          <w:lang w:val="en-US"/>
        </w:rPr>
        <w:t>EH_Value_History.png</w:t>
      </w:r>
      <w:r w:rsidR="00F27777">
        <w:rPr>
          <w:lang w:val="en-US"/>
        </w:rPr>
        <w:br/>
      </w:r>
      <w:r w:rsidRPr="00674ED4">
        <w:rPr>
          <w:lang w:val="en-US"/>
        </w:rPr>
        <w:t>Netilion Value also displays historical data, so changes in levels can be tracked</w:t>
      </w:r>
      <w:r>
        <w:rPr>
          <w:lang w:val="en-US"/>
        </w:rPr>
        <w:t>.</w:t>
      </w:r>
    </w:p>
    <w:p w14:paraId="4F6A7C11" w14:textId="77777777" w:rsidR="00674ED4" w:rsidRPr="00247881" w:rsidRDefault="00674ED4" w:rsidP="00674ED4">
      <w:r w:rsidRPr="00247881">
        <w:rPr>
          <w:noProof/>
        </w:rPr>
        <w:drawing>
          <wp:inline distT="0" distB="0" distL="0" distR="0" wp14:anchorId="6924D8A1" wp14:editId="45977C38">
            <wp:extent cx="4619708" cy="3040219"/>
            <wp:effectExtent l="0" t="0" r="0" b="825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38909" cy="3052855"/>
                    </a:xfrm>
                    <a:prstGeom prst="rect">
                      <a:avLst/>
                    </a:prstGeom>
                    <a:noFill/>
                    <a:ln>
                      <a:noFill/>
                    </a:ln>
                  </pic:spPr>
                </pic:pic>
              </a:graphicData>
            </a:graphic>
          </wp:inline>
        </w:drawing>
      </w:r>
    </w:p>
    <w:p w14:paraId="3701BD54" w14:textId="081E0EDD" w:rsidR="00674ED4" w:rsidRPr="00674ED4" w:rsidRDefault="00674ED4" w:rsidP="00674ED4">
      <w:pPr>
        <w:rPr>
          <w:lang w:val="en-US"/>
        </w:rPr>
      </w:pPr>
      <w:r w:rsidRPr="00F27777">
        <w:rPr>
          <w:lang w:val="en-US"/>
        </w:rPr>
        <w:t>EH_Value_Map.png</w:t>
      </w:r>
      <w:r w:rsidR="00F27777">
        <w:rPr>
          <w:lang w:val="en-US"/>
        </w:rPr>
        <w:br/>
      </w:r>
      <w:r w:rsidRPr="00674ED4">
        <w:rPr>
          <w:lang w:val="en-US"/>
        </w:rPr>
        <w:t>Because the Micropilot FWR30 also sends position data to the cloud, users always know where the IBC is located.</w:t>
      </w:r>
    </w:p>
    <w:p w14:paraId="58C921E5" w14:textId="77777777" w:rsidR="00674ED4" w:rsidRPr="00247881" w:rsidRDefault="00674ED4" w:rsidP="00674ED4">
      <w:r w:rsidRPr="00247881">
        <w:rPr>
          <w:noProof/>
        </w:rPr>
        <w:lastRenderedPageBreak/>
        <w:drawing>
          <wp:inline distT="0" distB="0" distL="0" distR="0" wp14:anchorId="5F85411D" wp14:editId="161FEE66">
            <wp:extent cx="5453034" cy="3586039"/>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59702" cy="3590424"/>
                    </a:xfrm>
                    <a:prstGeom prst="rect">
                      <a:avLst/>
                    </a:prstGeom>
                    <a:noFill/>
                    <a:ln>
                      <a:noFill/>
                    </a:ln>
                  </pic:spPr>
                </pic:pic>
              </a:graphicData>
            </a:graphic>
          </wp:inline>
        </w:drawing>
      </w:r>
    </w:p>
    <w:p w14:paraId="50B1CBDC" w14:textId="4B61E2E3" w:rsidR="00674ED4" w:rsidRPr="00674ED4" w:rsidRDefault="00674ED4" w:rsidP="00674ED4">
      <w:pPr>
        <w:rPr>
          <w:lang w:val="en-US"/>
        </w:rPr>
      </w:pPr>
      <w:r w:rsidRPr="00F27777">
        <w:rPr>
          <w:lang w:val="en-US"/>
        </w:rPr>
        <w:t>EH_Value_Notification.png</w:t>
      </w:r>
      <w:r w:rsidR="00F27777">
        <w:rPr>
          <w:lang w:val="en-US"/>
        </w:rPr>
        <w:br/>
      </w:r>
      <w:bookmarkStart w:id="0" w:name="_GoBack"/>
      <w:bookmarkEnd w:id="0"/>
      <w:r w:rsidRPr="00674ED4">
        <w:rPr>
          <w:lang w:val="en-US"/>
        </w:rPr>
        <w:t>Users are notified when an alarm level is reached.</w:t>
      </w:r>
    </w:p>
    <w:p w14:paraId="4FE6897E" w14:textId="77777777" w:rsidR="00674ED4" w:rsidRPr="00674ED4" w:rsidRDefault="00674ED4" w:rsidP="00674ED4">
      <w:pPr>
        <w:rPr>
          <w:lang w:val="en-US"/>
        </w:rPr>
      </w:pPr>
    </w:p>
    <w:p w14:paraId="6B220487" w14:textId="77777777" w:rsidR="00674ED4" w:rsidRPr="00674ED4" w:rsidRDefault="00674ED4">
      <w:pPr>
        <w:rPr>
          <w:lang w:val="en-US"/>
        </w:rPr>
      </w:pPr>
    </w:p>
    <w:sectPr w:rsidR="00674ED4" w:rsidRPr="00674ED4" w:rsidSect="00F73FC0">
      <w:headerReference w:type="even" r:id="rId15"/>
      <w:headerReference w:type="default" r:id="rId16"/>
      <w:footerReference w:type="even" r:id="rId17"/>
      <w:footerReference w:type="default" r:id="rId18"/>
      <w:headerReference w:type="first" r:id="rId19"/>
      <w:footerReference w:type="first" r:id="rId20"/>
      <w:pgSz w:w="11906" w:h="16838" w:code="9"/>
      <w:pgMar w:top="512" w:right="851" w:bottom="1418" w:left="1134" w:header="709" w:footer="567"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5FB961" w16cex:dateUtc="2020-05-08T09:56: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7B73DA" w14:textId="77777777" w:rsidR="008A5663" w:rsidRDefault="008A5663" w:rsidP="004C34B5">
      <w:pPr>
        <w:spacing w:line="240" w:lineRule="auto"/>
      </w:pPr>
      <w:r>
        <w:separator/>
      </w:r>
    </w:p>
  </w:endnote>
  <w:endnote w:type="continuationSeparator" w:id="0">
    <w:p w14:paraId="3BCFD167" w14:textId="77777777" w:rsidR="008A5663" w:rsidRDefault="008A5663" w:rsidP="004C34B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E+H Serif">
    <w:altName w:val="Times New Roman"/>
    <w:panose1 w:val="02020403050405020404"/>
    <w:charset w:val="00"/>
    <w:family w:val="roman"/>
    <w:pitch w:val="variable"/>
    <w:sig w:usb0="A00002AF" w:usb1="1000206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D9333B" w14:textId="77777777" w:rsidR="002011FA" w:rsidRDefault="002011F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094620" w14:paraId="70AF882A" w14:textId="77777777" w:rsidTr="00094620">
      <w:trPr>
        <w:cantSplit/>
      </w:trPr>
      <w:tc>
        <w:tcPr>
          <w:tcW w:w="5000" w:type="pct"/>
        </w:tcPr>
        <w:p w14:paraId="5BE80FB5" w14:textId="77777777" w:rsidR="00094620" w:rsidRPr="006810D7" w:rsidRDefault="00CA1773" w:rsidP="00094620">
          <w:pPr>
            <w:pStyle w:val="Fuzeile"/>
            <w:tabs>
              <w:tab w:val="clear" w:pos="4536"/>
              <w:tab w:val="clear" w:pos="9072"/>
              <w:tab w:val="right" w:pos="9923"/>
            </w:tabs>
            <w:jc w:val="right"/>
          </w:pPr>
          <w:r>
            <w:fldChar w:fldCharType="begin"/>
          </w:r>
          <w:r w:rsidR="00094620">
            <w:instrText xml:space="preserve"> PAGE  \* Arabic  \* MERGEFORMAT </w:instrText>
          </w:r>
          <w:r>
            <w:fldChar w:fldCharType="separate"/>
          </w:r>
          <w:r w:rsidR="008F4EBF">
            <w:rPr>
              <w:noProof/>
            </w:rPr>
            <w:t>3</w:t>
          </w:r>
          <w:r>
            <w:fldChar w:fldCharType="end"/>
          </w:r>
          <w:r w:rsidR="00094620">
            <w:t>/</w:t>
          </w:r>
          <w:r w:rsidR="00F27777">
            <w:fldChar w:fldCharType="begin"/>
          </w:r>
          <w:r w:rsidR="00F27777">
            <w:instrText xml:space="preserve"> NUMPAGES  \* Arabic  \* MERGEFORMAT </w:instrText>
          </w:r>
          <w:r w:rsidR="00F27777">
            <w:fldChar w:fldCharType="separate"/>
          </w:r>
          <w:r w:rsidR="008F4EBF">
            <w:rPr>
              <w:noProof/>
            </w:rPr>
            <w:t>3</w:t>
          </w:r>
          <w:r w:rsidR="00F27777">
            <w:rPr>
              <w:noProof/>
            </w:rPr>
            <w:fldChar w:fldCharType="end"/>
          </w:r>
        </w:p>
      </w:tc>
    </w:tr>
  </w:tbl>
  <w:p w14:paraId="1907A54D" w14:textId="77777777" w:rsidR="00094620" w:rsidRPr="00533615" w:rsidRDefault="00094620" w:rsidP="00CF276D">
    <w:pPr>
      <w:pStyle w:val="Fuzeile"/>
      <w:tabs>
        <w:tab w:val="clear" w:pos="4536"/>
        <w:tab w:val="clear" w:pos="9072"/>
        <w:tab w:val="right" w:pos="9923"/>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094620" w14:paraId="797EBB0F" w14:textId="77777777" w:rsidTr="00094620">
      <w:trPr>
        <w:cantSplit/>
      </w:trPr>
      <w:tc>
        <w:tcPr>
          <w:tcW w:w="5000" w:type="pct"/>
        </w:tcPr>
        <w:p w14:paraId="77D67621" w14:textId="77777777" w:rsidR="00094620" w:rsidRPr="006810D7" w:rsidRDefault="00CA1773" w:rsidP="00094620">
          <w:pPr>
            <w:pStyle w:val="Fuzeile"/>
            <w:tabs>
              <w:tab w:val="clear" w:pos="4536"/>
              <w:tab w:val="clear" w:pos="9072"/>
              <w:tab w:val="right" w:pos="9923"/>
            </w:tabs>
            <w:jc w:val="right"/>
          </w:pPr>
          <w:r>
            <w:fldChar w:fldCharType="begin"/>
          </w:r>
          <w:r w:rsidR="00094620">
            <w:instrText xml:space="preserve"> PAGE  \* Arabic  \* MERGEFORMAT </w:instrText>
          </w:r>
          <w:r>
            <w:fldChar w:fldCharType="separate"/>
          </w:r>
          <w:r w:rsidR="008F4EBF">
            <w:rPr>
              <w:noProof/>
            </w:rPr>
            <w:t>1</w:t>
          </w:r>
          <w:r>
            <w:fldChar w:fldCharType="end"/>
          </w:r>
          <w:r w:rsidR="00094620">
            <w:t>/</w:t>
          </w:r>
          <w:r w:rsidR="00F27777">
            <w:fldChar w:fldCharType="begin"/>
          </w:r>
          <w:r w:rsidR="00F27777">
            <w:instrText xml:space="preserve"> NUMPAGES  \* Arabic  \* MERGEFORMAT </w:instrText>
          </w:r>
          <w:r w:rsidR="00F27777">
            <w:fldChar w:fldCharType="separate"/>
          </w:r>
          <w:r w:rsidR="008F4EBF">
            <w:rPr>
              <w:noProof/>
            </w:rPr>
            <w:t>3</w:t>
          </w:r>
          <w:r w:rsidR="00F27777">
            <w:rPr>
              <w:noProof/>
            </w:rPr>
            <w:fldChar w:fldCharType="end"/>
          </w:r>
        </w:p>
      </w:tc>
    </w:tr>
  </w:tbl>
  <w:p w14:paraId="0DDB1E05" w14:textId="77777777" w:rsidR="00094620" w:rsidRDefault="0009462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E3534B" w14:textId="77777777" w:rsidR="008A5663" w:rsidRDefault="008A5663" w:rsidP="004C34B5">
      <w:pPr>
        <w:spacing w:line="240" w:lineRule="auto"/>
      </w:pPr>
      <w:r>
        <w:separator/>
      </w:r>
    </w:p>
  </w:footnote>
  <w:footnote w:type="continuationSeparator" w:id="0">
    <w:p w14:paraId="47178280" w14:textId="77777777" w:rsidR="008A5663" w:rsidRDefault="008A5663" w:rsidP="004C34B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603B0" w14:textId="77777777" w:rsidR="002011FA" w:rsidRDefault="002011F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094620" w14:paraId="64F9607E" w14:textId="77777777" w:rsidTr="00F73FC0">
      <w:trPr>
        <w:cantSplit/>
        <w:trHeight w:hRule="exact" w:val="1135"/>
      </w:trPr>
      <w:tc>
        <w:tcPr>
          <w:tcW w:w="0" w:type="auto"/>
        </w:tcPr>
        <w:p w14:paraId="2B16ED2C" w14:textId="77777777" w:rsidR="00094620" w:rsidRPr="00F73FC0" w:rsidRDefault="00094620" w:rsidP="00C17E37">
          <w:pPr>
            <w:pStyle w:val="Headerblue"/>
            <w:rPr>
              <w:lang w:val="en-US"/>
            </w:rPr>
          </w:pPr>
        </w:p>
      </w:tc>
      <w:sdt>
        <w:sdtPr>
          <w:alias w:val="Logo"/>
          <w:tag w:val="Logo"/>
          <w:id w:val="1957135839"/>
        </w:sdtPr>
        <w:sdtEndPr/>
        <w:sdtContent>
          <w:tc>
            <w:tcPr>
              <w:tcW w:w="3771" w:type="dxa"/>
            </w:tcPr>
            <w:p w14:paraId="29957013" w14:textId="77777777" w:rsidR="00094620" w:rsidRDefault="00094620" w:rsidP="003F6A61">
              <w:pPr>
                <w:pStyle w:val="Kopfzeile"/>
                <w:jc w:val="right"/>
              </w:pPr>
              <w:r>
                <w:rPr>
                  <w:noProof/>
                  <w:lang w:val="en-US"/>
                </w:rPr>
                <w:drawing>
                  <wp:inline distT="0" distB="0" distL="0" distR="0" wp14:anchorId="31A579BD" wp14:editId="343C2266">
                    <wp:extent cx="2394000" cy="486474"/>
                    <wp:effectExtent l="0" t="0" r="6350"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6474"/>
                            </a:xfrm>
                            <a:prstGeom prst="rect">
                              <a:avLst/>
                            </a:prstGeom>
                          </pic:spPr>
                        </pic:pic>
                      </a:graphicData>
                    </a:graphic>
                  </wp:inline>
                </w:drawing>
              </w:r>
            </w:p>
          </w:tc>
        </w:sdtContent>
      </w:sdt>
    </w:tr>
  </w:tbl>
  <w:p w14:paraId="4DF7A893" w14:textId="77777777" w:rsidR="00094620" w:rsidRPr="00C17E37" w:rsidRDefault="00094620" w:rsidP="003E4450">
    <w:pPr>
      <w:pStyle w:val="Kopfzeile"/>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094620" w14:paraId="046BEBC7" w14:textId="77777777" w:rsidTr="00802882">
      <w:trPr>
        <w:cantSplit/>
        <w:trHeight w:hRule="exact" w:val="1129"/>
      </w:trPr>
      <w:tc>
        <w:tcPr>
          <w:tcW w:w="0" w:type="auto"/>
        </w:tcPr>
        <w:p w14:paraId="757224ED" w14:textId="77777777" w:rsidR="00094620" w:rsidRPr="000B4D00" w:rsidRDefault="00094620" w:rsidP="00094620">
          <w:pPr>
            <w:pStyle w:val="Headerblue"/>
            <w:rPr>
              <w:lang w:val="en-US"/>
            </w:rPr>
          </w:pPr>
        </w:p>
      </w:tc>
      <w:sdt>
        <w:sdtPr>
          <w:alias w:val="Logo"/>
          <w:tag w:val="Logo"/>
          <w:id w:val="113172176"/>
        </w:sdtPr>
        <w:sdtEndPr/>
        <w:sdtContent>
          <w:tc>
            <w:tcPr>
              <w:tcW w:w="3771" w:type="dxa"/>
            </w:tcPr>
            <w:p w14:paraId="36FF8A5D" w14:textId="77777777" w:rsidR="00094620" w:rsidRDefault="00094620" w:rsidP="003E4450">
              <w:pPr>
                <w:pStyle w:val="Kopfzeile"/>
                <w:jc w:val="right"/>
              </w:pPr>
              <w:r>
                <w:rPr>
                  <w:noProof/>
                  <w:lang w:val="en-US"/>
                </w:rPr>
                <w:drawing>
                  <wp:inline distT="0" distB="0" distL="0" distR="0" wp14:anchorId="02007BA0" wp14:editId="6793510F">
                    <wp:extent cx="2394000" cy="486474"/>
                    <wp:effectExtent l="0" t="0" r="635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6474"/>
                            </a:xfrm>
                            <a:prstGeom prst="rect">
                              <a:avLst/>
                            </a:prstGeom>
                          </pic:spPr>
                        </pic:pic>
                      </a:graphicData>
                    </a:graphic>
                  </wp:inline>
                </w:drawing>
              </w:r>
            </w:p>
          </w:tc>
        </w:sdtContent>
      </w:sdt>
    </w:tr>
  </w:tbl>
  <w:p w14:paraId="3B40EA8A" w14:textId="77777777" w:rsidR="00094620" w:rsidRPr="00C8638E" w:rsidRDefault="00094620">
    <w:pPr>
      <w:pStyle w:val="Kopfzeile"/>
      <w:rPr>
        <w:rFonts w:ascii="E+H Serif" w:hAnsi="E+H Serif"/>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FBD02710"/>
    <w:lvl w:ilvl="0">
      <w:start w:val="1"/>
      <w:numFmt w:val="bullet"/>
      <w:pStyle w:val="Aufzhlungszeichen5"/>
      <w:lvlText w:val="•"/>
      <w:lvlJc w:val="left"/>
      <w:pPr>
        <w:ind w:left="1492" w:hanging="360"/>
      </w:pPr>
      <w:rPr>
        <w:rFonts w:ascii="E+H Serif" w:hAnsi="E+H Serif" w:hint="default"/>
      </w:rPr>
    </w:lvl>
  </w:abstractNum>
  <w:abstractNum w:abstractNumId="1" w15:restartNumberingAfterBreak="0">
    <w:nsid w:val="FFFFFF81"/>
    <w:multiLevelType w:val="singleLevel"/>
    <w:tmpl w:val="43D6C034"/>
    <w:lvl w:ilvl="0">
      <w:start w:val="1"/>
      <w:numFmt w:val="bullet"/>
      <w:pStyle w:val="Aufzhlungszeichen4"/>
      <w:lvlText w:val="•"/>
      <w:lvlJc w:val="left"/>
      <w:pPr>
        <w:tabs>
          <w:tab w:val="num" w:pos="1209"/>
        </w:tabs>
        <w:ind w:left="1209" w:hanging="360"/>
      </w:pPr>
      <w:rPr>
        <w:rFonts w:ascii="E+H Serif" w:hAnsi="E+H Serif" w:hint="default"/>
      </w:rPr>
    </w:lvl>
  </w:abstractNum>
  <w:abstractNum w:abstractNumId="2" w15:restartNumberingAfterBreak="0">
    <w:nsid w:val="FFFFFF82"/>
    <w:multiLevelType w:val="singleLevel"/>
    <w:tmpl w:val="B762BACC"/>
    <w:lvl w:ilvl="0">
      <w:start w:val="1"/>
      <w:numFmt w:val="bullet"/>
      <w:pStyle w:val="Aufzhlungszeichen3"/>
      <w:lvlText w:val="•"/>
      <w:lvlJc w:val="left"/>
      <w:pPr>
        <w:tabs>
          <w:tab w:val="num" w:pos="926"/>
        </w:tabs>
        <w:ind w:left="926" w:hanging="360"/>
      </w:pPr>
      <w:rPr>
        <w:rFonts w:ascii="E+H Serif" w:hAnsi="E+H Serif" w:hint="default"/>
      </w:rPr>
    </w:lvl>
  </w:abstractNum>
  <w:abstractNum w:abstractNumId="3" w15:restartNumberingAfterBreak="0">
    <w:nsid w:val="FFFFFF83"/>
    <w:multiLevelType w:val="singleLevel"/>
    <w:tmpl w:val="BB8C987A"/>
    <w:lvl w:ilvl="0">
      <w:start w:val="1"/>
      <w:numFmt w:val="bullet"/>
      <w:pStyle w:val="Aufzhlungszeichen2"/>
      <w:lvlText w:val="•"/>
      <w:lvlJc w:val="left"/>
      <w:pPr>
        <w:tabs>
          <w:tab w:val="num" w:pos="643"/>
        </w:tabs>
        <w:ind w:left="643" w:hanging="360"/>
      </w:pPr>
      <w:rPr>
        <w:rFonts w:ascii="E+H Serif" w:hAnsi="E+H Serif" w:hint="default"/>
      </w:rPr>
    </w:lvl>
  </w:abstractNum>
  <w:abstractNum w:abstractNumId="4" w15:restartNumberingAfterBreak="0">
    <w:nsid w:val="FFFFFF89"/>
    <w:multiLevelType w:val="singleLevel"/>
    <w:tmpl w:val="252EA4BA"/>
    <w:lvl w:ilvl="0">
      <w:start w:val="1"/>
      <w:numFmt w:val="bullet"/>
      <w:pStyle w:val="Aufzhlungszeichen"/>
      <w:lvlText w:val="•"/>
      <w:lvlJc w:val="left"/>
      <w:pPr>
        <w:tabs>
          <w:tab w:val="num" w:pos="360"/>
        </w:tabs>
        <w:ind w:left="360" w:hanging="360"/>
      </w:pPr>
      <w:rPr>
        <w:rFonts w:ascii="E+H Serif" w:hAnsi="E+H Serif" w:hint="default"/>
      </w:rPr>
    </w:lvl>
  </w:abstractNum>
  <w:abstractNum w:abstractNumId="5" w15:restartNumberingAfterBreak="0">
    <w:nsid w:val="17DD25B2"/>
    <w:multiLevelType w:val="hybridMultilevel"/>
    <w:tmpl w:val="2CAC2500"/>
    <w:lvl w:ilvl="0" w:tplc="E840606A">
      <w:numFmt w:val="bullet"/>
      <w:lvlText w:val=""/>
      <w:lvlJc w:val="left"/>
      <w:pPr>
        <w:ind w:left="720" w:hanging="360"/>
      </w:pPr>
      <w:rPr>
        <w:rFonts w:ascii="E+H Serif" w:eastAsiaTheme="minorHAnsi" w:hAnsi="E+H Serif"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1AA84252"/>
    <w:multiLevelType w:val="multilevel"/>
    <w:tmpl w:val="1E4CA594"/>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7" w15:restartNumberingAfterBreak="0">
    <w:nsid w:val="34BA016F"/>
    <w:multiLevelType w:val="hybridMultilevel"/>
    <w:tmpl w:val="72FC9A9A"/>
    <w:lvl w:ilvl="0" w:tplc="72B4066C">
      <w:start w:val="1"/>
      <w:numFmt w:val="decimal"/>
      <w:pStyle w:val="7BodyTextNumbering"/>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4FA954A0"/>
    <w:multiLevelType w:val="multilevel"/>
    <w:tmpl w:val="811CB360"/>
    <w:lvl w:ilvl="0">
      <w:start w:val="1"/>
      <w:numFmt w:val="bullet"/>
      <w:lvlRestart w:val="0"/>
      <w:pStyle w:val="6BodyTextBullets"/>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num w:numId="1">
    <w:abstractNumId w:val="5"/>
  </w:num>
  <w:num w:numId="2">
    <w:abstractNumId w:val="4"/>
  </w:num>
  <w:num w:numId="3">
    <w:abstractNumId w:val="4"/>
  </w:num>
  <w:num w:numId="4">
    <w:abstractNumId w:val="3"/>
  </w:num>
  <w:num w:numId="5">
    <w:abstractNumId w:val="3"/>
  </w:num>
  <w:num w:numId="6">
    <w:abstractNumId w:val="2"/>
  </w:num>
  <w:num w:numId="7">
    <w:abstractNumId w:val="2"/>
  </w:num>
  <w:num w:numId="8">
    <w:abstractNumId w:val="4"/>
  </w:num>
  <w:num w:numId="9">
    <w:abstractNumId w:val="3"/>
  </w:num>
  <w:num w:numId="10">
    <w:abstractNumId w:val="2"/>
  </w:num>
  <w:num w:numId="11">
    <w:abstractNumId w:val="1"/>
  </w:num>
  <w:num w:numId="12">
    <w:abstractNumId w:val="1"/>
  </w:num>
  <w:num w:numId="13">
    <w:abstractNumId w:val="0"/>
  </w:num>
  <w:num w:numId="14">
    <w:abstractNumId w:val="0"/>
  </w:num>
  <w:num w:numId="15">
    <w:abstractNumId w:val="8"/>
  </w:num>
  <w:num w:numId="16">
    <w:abstractNumId w:val="7"/>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34AF"/>
    <w:rsid w:val="00030AE8"/>
    <w:rsid w:val="00072778"/>
    <w:rsid w:val="00085A21"/>
    <w:rsid w:val="00090264"/>
    <w:rsid w:val="00093B97"/>
    <w:rsid w:val="00094620"/>
    <w:rsid w:val="000B0645"/>
    <w:rsid w:val="000B4D00"/>
    <w:rsid w:val="000C6FD0"/>
    <w:rsid w:val="000D1B63"/>
    <w:rsid w:val="0010151B"/>
    <w:rsid w:val="0011059E"/>
    <w:rsid w:val="00132DC2"/>
    <w:rsid w:val="001371C0"/>
    <w:rsid w:val="00147050"/>
    <w:rsid w:val="00150DBC"/>
    <w:rsid w:val="00153856"/>
    <w:rsid w:val="001A1260"/>
    <w:rsid w:val="001D2386"/>
    <w:rsid w:val="001E069F"/>
    <w:rsid w:val="001E6A09"/>
    <w:rsid w:val="001F6651"/>
    <w:rsid w:val="002011FA"/>
    <w:rsid w:val="0020308D"/>
    <w:rsid w:val="002036F5"/>
    <w:rsid w:val="00214543"/>
    <w:rsid w:val="00215D1E"/>
    <w:rsid w:val="00252C3C"/>
    <w:rsid w:val="002908B2"/>
    <w:rsid w:val="002932B6"/>
    <w:rsid w:val="002A62AC"/>
    <w:rsid w:val="002B63EB"/>
    <w:rsid w:val="002F6085"/>
    <w:rsid w:val="00322A0D"/>
    <w:rsid w:val="003303B0"/>
    <w:rsid w:val="00337B86"/>
    <w:rsid w:val="003415A7"/>
    <w:rsid w:val="00344F74"/>
    <w:rsid w:val="00345080"/>
    <w:rsid w:val="003502E7"/>
    <w:rsid w:val="003A178D"/>
    <w:rsid w:val="003A49EC"/>
    <w:rsid w:val="003A4FB7"/>
    <w:rsid w:val="003B6251"/>
    <w:rsid w:val="003C2907"/>
    <w:rsid w:val="003D1417"/>
    <w:rsid w:val="003E4450"/>
    <w:rsid w:val="003E55CA"/>
    <w:rsid w:val="003F313E"/>
    <w:rsid w:val="003F6A61"/>
    <w:rsid w:val="00401956"/>
    <w:rsid w:val="00423AD6"/>
    <w:rsid w:val="0045472D"/>
    <w:rsid w:val="004616AE"/>
    <w:rsid w:val="00464BF6"/>
    <w:rsid w:val="0049757A"/>
    <w:rsid w:val="004C34B5"/>
    <w:rsid w:val="004C421D"/>
    <w:rsid w:val="004D6340"/>
    <w:rsid w:val="004D7764"/>
    <w:rsid w:val="004E6834"/>
    <w:rsid w:val="005272FB"/>
    <w:rsid w:val="00527E27"/>
    <w:rsid w:val="00531F2E"/>
    <w:rsid w:val="00534B4E"/>
    <w:rsid w:val="00536CD2"/>
    <w:rsid w:val="005421AD"/>
    <w:rsid w:val="00576A01"/>
    <w:rsid w:val="005938B4"/>
    <w:rsid w:val="005A2246"/>
    <w:rsid w:val="005B7FCA"/>
    <w:rsid w:val="005D0427"/>
    <w:rsid w:val="005D1529"/>
    <w:rsid w:val="005E6265"/>
    <w:rsid w:val="005F3890"/>
    <w:rsid w:val="00606EA9"/>
    <w:rsid w:val="0062587F"/>
    <w:rsid w:val="00634240"/>
    <w:rsid w:val="006351B4"/>
    <w:rsid w:val="00635A2E"/>
    <w:rsid w:val="00643F00"/>
    <w:rsid w:val="006673A7"/>
    <w:rsid w:val="00674ED4"/>
    <w:rsid w:val="006A6B1C"/>
    <w:rsid w:val="006E0269"/>
    <w:rsid w:val="007023C2"/>
    <w:rsid w:val="00705218"/>
    <w:rsid w:val="00716D20"/>
    <w:rsid w:val="007327A6"/>
    <w:rsid w:val="00737725"/>
    <w:rsid w:val="007814EF"/>
    <w:rsid w:val="00785611"/>
    <w:rsid w:val="0078745C"/>
    <w:rsid w:val="007A5F4A"/>
    <w:rsid w:val="007A7CA8"/>
    <w:rsid w:val="007C2972"/>
    <w:rsid w:val="007C7372"/>
    <w:rsid w:val="007D5270"/>
    <w:rsid w:val="007F325A"/>
    <w:rsid w:val="00802882"/>
    <w:rsid w:val="008214B6"/>
    <w:rsid w:val="00826DF9"/>
    <w:rsid w:val="008320DB"/>
    <w:rsid w:val="0084217C"/>
    <w:rsid w:val="00856AA9"/>
    <w:rsid w:val="00867A77"/>
    <w:rsid w:val="008836B5"/>
    <w:rsid w:val="008A5663"/>
    <w:rsid w:val="008A74AE"/>
    <w:rsid w:val="008C1F84"/>
    <w:rsid w:val="008D231B"/>
    <w:rsid w:val="008D3973"/>
    <w:rsid w:val="008E273F"/>
    <w:rsid w:val="008F0593"/>
    <w:rsid w:val="008F059E"/>
    <w:rsid w:val="008F4EBF"/>
    <w:rsid w:val="00927E51"/>
    <w:rsid w:val="00935912"/>
    <w:rsid w:val="00941D94"/>
    <w:rsid w:val="0094209B"/>
    <w:rsid w:val="009617FF"/>
    <w:rsid w:val="00970D14"/>
    <w:rsid w:val="009827FB"/>
    <w:rsid w:val="009D1FF9"/>
    <w:rsid w:val="009E56C1"/>
    <w:rsid w:val="009F1ADA"/>
    <w:rsid w:val="00A31325"/>
    <w:rsid w:val="00A31445"/>
    <w:rsid w:val="00A73965"/>
    <w:rsid w:val="00A8319C"/>
    <w:rsid w:val="00A83355"/>
    <w:rsid w:val="00A93BD3"/>
    <w:rsid w:val="00AC171D"/>
    <w:rsid w:val="00AC7795"/>
    <w:rsid w:val="00B10756"/>
    <w:rsid w:val="00B134AF"/>
    <w:rsid w:val="00B268FB"/>
    <w:rsid w:val="00B51F4E"/>
    <w:rsid w:val="00B55E2A"/>
    <w:rsid w:val="00B5662F"/>
    <w:rsid w:val="00B72129"/>
    <w:rsid w:val="00B95A42"/>
    <w:rsid w:val="00BE2BAF"/>
    <w:rsid w:val="00C17E37"/>
    <w:rsid w:val="00C24A1D"/>
    <w:rsid w:val="00C31DBE"/>
    <w:rsid w:val="00C44580"/>
    <w:rsid w:val="00C75F92"/>
    <w:rsid w:val="00C76FE1"/>
    <w:rsid w:val="00C8638E"/>
    <w:rsid w:val="00CA1773"/>
    <w:rsid w:val="00CA1BBA"/>
    <w:rsid w:val="00CA53BB"/>
    <w:rsid w:val="00CB57FC"/>
    <w:rsid w:val="00CF276D"/>
    <w:rsid w:val="00D02C40"/>
    <w:rsid w:val="00D1564C"/>
    <w:rsid w:val="00D22087"/>
    <w:rsid w:val="00D24945"/>
    <w:rsid w:val="00D4513F"/>
    <w:rsid w:val="00D510B7"/>
    <w:rsid w:val="00D80841"/>
    <w:rsid w:val="00D85151"/>
    <w:rsid w:val="00D85B29"/>
    <w:rsid w:val="00D912D1"/>
    <w:rsid w:val="00DB5BD7"/>
    <w:rsid w:val="00DC0EB8"/>
    <w:rsid w:val="00DE1F9E"/>
    <w:rsid w:val="00DE4559"/>
    <w:rsid w:val="00DF6968"/>
    <w:rsid w:val="00E31792"/>
    <w:rsid w:val="00E8468D"/>
    <w:rsid w:val="00E90045"/>
    <w:rsid w:val="00E92736"/>
    <w:rsid w:val="00EA2B2E"/>
    <w:rsid w:val="00EB2C0C"/>
    <w:rsid w:val="00EC6FB1"/>
    <w:rsid w:val="00EF5503"/>
    <w:rsid w:val="00EF6B5D"/>
    <w:rsid w:val="00F27777"/>
    <w:rsid w:val="00F30E68"/>
    <w:rsid w:val="00F411F7"/>
    <w:rsid w:val="00F563B4"/>
    <w:rsid w:val="00F73FC0"/>
    <w:rsid w:val="00F94B5C"/>
    <w:rsid w:val="00F9777F"/>
    <w:rsid w:val="00F977E0"/>
    <w:rsid w:val="00FA2214"/>
    <w:rsid w:val="00FA62A6"/>
    <w:rsid w:val="00FB257A"/>
    <w:rsid w:val="00FB596E"/>
    <w:rsid w:val="00FD3E7C"/>
    <w:rsid w:val="00FE37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67057A1"/>
  <w15:docId w15:val="{78D8C306-E1B7-44E1-9FC9-82B4312D87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98"/>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aliases w:val="4 Body Text Normal"/>
    <w:qFormat/>
    <w:rsid w:val="00606EA9"/>
    <w:pPr>
      <w:spacing w:after="240"/>
    </w:pPr>
    <w:rPr>
      <w:lang w:val="de-DE"/>
    </w:rPr>
  </w:style>
  <w:style w:type="paragraph" w:styleId="berschrift1">
    <w:name w:val="heading 1"/>
    <w:basedOn w:val="Standard"/>
    <w:next w:val="Standard"/>
    <w:link w:val="berschrift1Zchn"/>
    <w:autoRedefine/>
    <w:uiPriority w:val="9"/>
    <w:unhideWhenUsed/>
    <w:qFormat/>
    <w:rsid w:val="00802882"/>
    <w:pPr>
      <w:keepNext/>
      <w:keepLines/>
      <w:numPr>
        <w:numId w:val="17"/>
      </w:numPr>
      <w:spacing w:before="480"/>
      <w:ind w:left="431" w:hanging="431"/>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autoRedefine/>
    <w:uiPriority w:val="9"/>
    <w:unhideWhenUsed/>
    <w:qFormat/>
    <w:rsid w:val="001E069F"/>
    <w:pPr>
      <w:keepNext/>
      <w:keepLines/>
      <w:numPr>
        <w:ilvl w:val="1"/>
        <w:numId w:val="17"/>
      </w:numPr>
      <w:spacing w:before="200"/>
      <w:ind w:left="578" w:hanging="578"/>
      <w:outlineLvl w:val="1"/>
    </w:pPr>
    <w:rPr>
      <w:rFonts w:asciiTheme="majorHAnsi" w:eastAsiaTheme="majorEastAsia" w:hAnsiTheme="majorHAnsi" w:cstheme="majorBidi"/>
      <w:b/>
      <w:bCs/>
      <w:sz w:val="26"/>
      <w:szCs w:val="26"/>
    </w:rPr>
  </w:style>
  <w:style w:type="paragraph" w:styleId="berschrift3">
    <w:name w:val="heading 3"/>
    <w:basedOn w:val="Standard"/>
    <w:next w:val="Standard"/>
    <w:link w:val="berschrift3Zchn"/>
    <w:autoRedefine/>
    <w:uiPriority w:val="9"/>
    <w:unhideWhenUsed/>
    <w:qFormat/>
    <w:rsid w:val="00D22087"/>
    <w:pPr>
      <w:keepNext/>
      <w:keepLines/>
      <w:numPr>
        <w:ilvl w:val="2"/>
        <w:numId w:val="17"/>
      </w:numPr>
      <w:spacing w:before="200"/>
      <w:outlineLvl w:val="2"/>
    </w:pPr>
    <w:rPr>
      <w:rFonts w:asciiTheme="majorHAnsi" w:eastAsiaTheme="majorEastAsia" w:hAnsiTheme="majorHAnsi" w:cstheme="majorBidi"/>
      <w:b/>
      <w:bCs/>
    </w:rPr>
  </w:style>
  <w:style w:type="paragraph" w:styleId="berschrift4">
    <w:name w:val="heading 4"/>
    <w:basedOn w:val="Standard"/>
    <w:next w:val="Standard"/>
    <w:link w:val="berschrift4Zchn"/>
    <w:autoRedefine/>
    <w:uiPriority w:val="9"/>
    <w:unhideWhenUsed/>
    <w:qFormat/>
    <w:rsid w:val="00D22087"/>
    <w:pPr>
      <w:keepNext/>
      <w:keepLines/>
      <w:numPr>
        <w:ilvl w:val="3"/>
        <w:numId w:val="17"/>
      </w:numPr>
      <w:spacing w:before="200"/>
      <w:ind w:left="862" w:hanging="862"/>
      <w:outlineLvl w:val="3"/>
    </w:pPr>
    <w:rPr>
      <w:rFonts w:asciiTheme="majorHAnsi" w:eastAsiaTheme="majorEastAsia" w:hAnsiTheme="majorHAnsi" w:cstheme="majorBidi"/>
      <w:b/>
      <w:bCs/>
      <w:iCs/>
    </w:rPr>
  </w:style>
  <w:style w:type="paragraph" w:styleId="berschrift5">
    <w:name w:val="heading 5"/>
    <w:basedOn w:val="Standard"/>
    <w:next w:val="Standard"/>
    <w:link w:val="berschrift5Zchn"/>
    <w:autoRedefine/>
    <w:uiPriority w:val="9"/>
    <w:unhideWhenUsed/>
    <w:qFormat/>
    <w:rsid w:val="00D22087"/>
    <w:pPr>
      <w:keepNext/>
      <w:keepLines/>
      <w:numPr>
        <w:ilvl w:val="4"/>
        <w:numId w:val="17"/>
      </w:numPr>
      <w:spacing w:before="200"/>
      <w:ind w:left="1009" w:hanging="1009"/>
      <w:outlineLvl w:val="4"/>
    </w:pPr>
    <w:rPr>
      <w:rFonts w:asciiTheme="majorHAnsi" w:eastAsiaTheme="majorEastAsia" w:hAnsiTheme="majorHAnsi" w:cstheme="majorBidi"/>
      <w:b/>
    </w:rPr>
  </w:style>
  <w:style w:type="paragraph" w:styleId="berschrift6">
    <w:name w:val="heading 6"/>
    <w:basedOn w:val="Standard"/>
    <w:next w:val="Standard"/>
    <w:link w:val="berschrift6Zchn"/>
    <w:autoRedefine/>
    <w:uiPriority w:val="9"/>
    <w:unhideWhenUsed/>
    <w:qFormat/>
    <w:rsid w:val="00D22087"/>
    <w:pPr>
      <w:keepNext/>
      <w:keepLines/>
      <w:numPr>
        <w:ilvl w:val="5"/>
        <w:numId w:val="17"/>
      </w:numPr>
      <w:spacing w:before="200"/>
      <w:ind w:left="1151" w:hanging="1151"/>
      <w:outlineLvl w:val="5"/>
    </w:pPr>
    <w:rPr>
      <w:rFonts w:asciiTheme="majorHAnsi" w:eastAsiaTheme="majorEastAsia" w:hAnsiTheme="majorHAnsi" w:cstheme="majorBidi"/>
      <w:b/>
      <w:iCs/>
    </w:rPr>
  </w:style>
  <w:style w:type="paragraph" w:styleId="berschrift7">
    <w:name w:val="heading 7"/>
    <w:basedOn w:val="Standard"/>
    <w:next w:val="Standard"/>
    <w:link w:val="berschrift7Zchn"/>
    <w:autoRedefine/>
    <w:uiPriority w:val="9"/>
    <w:unhideWhenUsed/>
    <w:qFormat/>
    <w:rsid w:val="00D22087"/>
    <w:pPr>
      <w:keepNext/>
      <w:keepLines/>
      <w:numPr>
        <w:ilvl w:val="6"/>
        <w:numId w:val="17"/>
      </w:numPr>
      <w:spacing w:before="200"/>
      <w:ind w:left="1298" w:hanging="1298"/>
      <w:outlineLvl w:val="6"/>
    </w:pPr>
    <w:rPr>
      <w:rFonts w:asciiTheme="majorHAnsi" w:eastAsiaTheme="majorEastAsia" w:hAnsiTheme="majorHAnsi" w:cstheme="majorBidi"/>
      <w:b/>
      <w:iCs/>
    </w:rPr>
  </w:style>
  <w:style w:type="paragraph" w:styleId="berschrift8">
    <w:name w:val="heading 8"/>
    <w:basedOn w:val="Standard"/>
    <w:next w:val="Standard"/>
    <w:link w:val="berschrift8Zchn"/>
    <w:uiPriority w:val="9"/>
    <w:semiHidden/>
    <w:unhideWhenUsed/>
    <w:qFormat/>
    <w:rsid w:val="001E069F"/>
    <w:pPr>
      <w:keepNext/>
      <w:keepLines/>
      <w:numPr>
        <w:ilvl w:val="7"/>
        <w:numId w:val="17"/>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1E069F"/>
    <w:pPr>
      <w:keepNext/>
      <w:keepLines/>
      <w:numPr>
        <w:ilvl w:val="8"/>
        <w:numId w:val="1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C34B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4C34B5"/>
  </w:style>
  <w:style w:type="paragraph" w:styleId="Fuzeile">
    <w:name w:val="footer"/>
    <w:basedOn w:val="Standard"/>
    <w:link w:val="FuzeileZchn"/>
    <w:uiPriority w:val="99"/>
    <w:unhideWhenUsed/>
    <w:rsid w:val="00CF276D"/>
    <w:pPr>
      <w:tabs>
        <w:tab w:val="center" w:pos="4536"/>
        <w:tab w:val="right" w:pos="9072"/>
      </w:tabs>
    </w:pPr>
  </w:style>
  <w:style w:type="character" w:customStyle="1" w:styleId="FuzeileZchn">
    <w:name w:val="Fußzeile Zchn"/>
    <w:basedOn w:val="Absatz-Standardschriftart"/>
    <w:link w:val="Fuzeile"/>
    <w:uiPriority w:val="99"/>
    <w:rsid w:val="00CF276D"/>
  </w:style>
  <w:style w:type="table" w:styleId="Tabellenraster">
    <w:name w:val="Table Grid"/>
    <w:basedOn w:val="NormaleTabelle"/>
    <w:uiPriority w:val="59"/>
    <w:rsid w:val="004C34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093B9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93B97"/>
    <w:rPr>
      <w:rFonts w:ascii="Tahoma" w:hAnsi="Tahoma" w:cs="Tahoma"/>
      <w:sz w:val="16"/>
      <w:szCs w:val="16"/>
    </w:rPr>
  </w:style>
  <w:style w:type="character" w:styleId="Platzhaltertext">
    <w:name w:val="Placeholder Text"/>
    <w:basedOn w:val="Absatz-Standardschriftart"/>
    <w:uiPriority w:val="99"/>
    <w:semiHidden/>
    <w:rsid w:val="00093B97"/>
    <w:rPr>
      <w:color w:val="808080"/>
    </w:rPr>
  </w:style>
  <w:style w:type="paragraph" w:styleId="Textkrper">
    <w:name w:val="Body Text"/>
    <w:basedOn w:val="Standard"/>
    <w:link w:val="TextkrperZchn"/>
    <w:autoRedefine/>
    <w:uiPriority w:val="98"/>
    <w:rsid w:val="00D22087"/>
    <w:rPr>
      <w:rFonts w:ascii="E+H Serif" w:hAnsi="E+H Serif"/>
      <w:lang w:val="en-US"/>
    </w:rPr>
  </w:style>
  <w:style w:type="character" w:customStyle="1" w:styleId="TextkrperZchn">
    <w:name w:val="Textkörper Zchn"/>
    <w:basedOn w:val="Absatz-Standardschriftart"/>
    <w:link w:val="Textkrper"/>
    <w:uiPriority w:val="98"/>
    <w:rsid w:val="00D22087"/>
    <w:rPr>
      <w:rFonts w:ascii="E+H Serif" w:hAnsi="E+H Serif"/>
      <w:lang w:val="en-US"/>
    </w:rPr>
  </w:style>
  <w:style w:type="paragraph" w:customStyle="1" w:styleId="Headerblue">
    <w:name w:val="Header blue"/>
    <w:basedOn w:val="Kopfzeile"/>
    <w:rsid w:val="00F563B4"/>
    <w:pPr>
      <w:spacing w:before="200"/>
      <w:contextualSpacing/>
    </w:pPr>
    <w:rPr>
      <w:rFonts w:ascii="E+H Serif" w:hAnsi="E+H Serif"/>
      <w:color w:val="0088FF"/>
      <w:sz w:val="28"/>
    </w:rPr>
  </w:style>
  <w:style w:type="paragraph" w:customStyle="1" w:styleId="Subject">
    <w:name w:val="Subject"/>
    <w:basedOn w:val="Standard"/>
    <w:rsid w:val="00A73965"/>
    <w:rPr>
      <w:rFonts w:ascii="E+H Serif" w:hAnsi="E+H Serif"/>
      <w:b/>
    </w:rPr>
  </w:style>
  <w:style w:type="character" w:styleId="SchwacherVerweis">
    <w:name w:val="Subtle Reference"/>
    <w:basedOn w:val="Absatz-Standardschriftart"/>
    <w:uiPriority w:val="31"/>
    <w:rsid w:val="007327A6"/>
    <w:rPr>
      <w:smallCaps/>
      <w:color w:val="auto"/>
      <w:u w:val="single"/>
    </w:rPr>
  </w:style>
  <w:style w:type="paragraph" w:styleId="IntensivesZitat">
    <w:name w:val="Intense Quote"/>
    <w:basedOn w:val="Standard"/>
    <w:next w:val="Standard"/>
    <w:link w:val="IntensivesZitatZchn"/>
    <w:uiPriority w:val="30"/>
    <w:rsid w:val="007327A6"/>
    <w:pPr>
      <w:pBdr>
        <w:bottom w:val="single" w:sz="4" w:space="4" w:color="AED3E7" w:themeColor="accent1"/>
      </w:pBdr>
      <w:spacing w:before="200" w:after="280"/>
      <w:ind w:left="936" w:right="936"/>
    </w:pPr>
    <w:rPr>
      <w:b/>
      <w:bCs/>
      <w:i/>
      <w:iCs/>
    </w:rPr>
  </w:style>
  <w:style w:type="character" w:customStyle="1" w:styleId="IntensivesZitatZchn">
    <w:name w:val="Intensives Zitat Zchn"/>
    <w:basedOn w:val="Absatz-Standardschriftart"/>
    <w:link w:val="IntensivesZitat"/>
    <w:uiPriority w:val="30"/>
    <w:rsid w:val="007327A6"/>
    <w:rPr>
      <w:b/>
      <w:bCs/>
      <w:i/>
      <w:iCs/>
    </w:rPr>
  </w:style>
  <w:style w:type="character" w:styleId="IntensiveHervorhebung">
    <w:name w:val="Intense Emphasis"/>
    <w:basedOn w:val="Absatz-Standardschriftart"/>
    <w:uiPriority w:val="21"/>
    <w:rsid w:val="007327A6"/>
    <w:rPr>
      <w:b/>
      <w:bCs/>
      <w:i/>
      <w:iCs/>
      <w:color w:val="auto"/>
    </w:rPr>
  </w:style>
  <w:style w:type="character" w:styleId="SchwacheHervorhebung">
    <w:name w:val="Subtle Emphasis"/>
    <w:basedOn w:val="Absatz-Standardschriftart"/>
    <w:uiPriority w:val="19"/>
    <w:rsid w:val="007327A6"/>
    <w:rPr>
      <w:i/>
      <w:iCs/>
      <w:color w:val="auto"/>
    </w:rPr>
  </w:style>
  <w:style w:type="paragraph" w:styleId="Untertitel">
    <w:name w:val="Subtitle"/>
    <w:basedOn w:val="Standard"/>
    <w:next w:val="Standard"/>
    <w:link w:val="UntertitelZchn"/>
    <w:uiPriority w:val="11"/>
    <w:rsid w:val="007327A6"/>
    <w:pPr>
      <w:numPr>
        <w:ilvl w:val="1"/>
      </w:numPr>
    </w:pPr>
    <w:rPr>
      <w:rFonts w:asciiTheme="majorHAnsi" w:eastAsiaTheme="majorEastAsia" w:hAnsiTheme="majorHAnsi" w:cstheme="majorBidi"/>
      <w:i/>
      <w:iCs/>
      <w:spacing w:val="15"/>
      <w:sz w:val="24"/>
      <w:szCs w:val="24"/>
    </w:rPr>
  </w:style>
  <w:style w:type="character" w:customStyle="1" w:styleId="UntertitelZchn">
    <w:name w:val="Untertitel Zchn"/>
    <w:basedOn w:val="Absatz-Standardschriftart"/>
    <w:link w:val="Untertitel"/>
    <w:uiPriority w:val="11"/>
    <w:rsid w:val="007327A6"/>
    <w:rPr>
      <w:rFonts w:asciiTheme="majorHAnsi" w:eastAsiaTheme="majorEastAsia" w:hAnsiTheme="majorHAnsi" w:cstheme="majorBidi"/>
      <w:i/>
      <w:iCs/>
      <w:spacing w:val="15"/>
      <w:sz w:val="24"/>
      <w:szCs w:val="24"/>
    </w:rPr>
  </w:style>
  <w:style w:type="paragraph" w:styleId="Titel">
    <w:name w:val="Title"/>
    <w:basedOn w:val="Standard"/>
    <w:next w:val="Standard"/>
    <w:link w:val="TitelZchn"/>
    <w:uiPriority w:val="10"/>
    <w:rsid w:val="007327A6"/>
    <w:pPr>
      <w:pBdr>
        <w:bottom w:val="single" w:sz="8" w:space="4" w:color="AED3E7" w:themeColor="accent1"/>
      </w:pBdr>
      <w:spacing w:after="300" w:line="240" w:lineRule="auto"/>
      <w:contextualSpacing/>
    </w:pPr>
    <w:rPr>
      <w:rFonts w:asciiTheme="majorHAnsi" w:eastAsiaTheme="majorEastAsia" w:hAnsiTheme="majorHAnsi" w:cstheme="majorBidi"/>
      <w:spacing w:val="5"/>
      <w:kern w:val="28"/>
      <w:sz w:val="52"/>
      <w:szCs w:val="52"/>
    </w:rPr>
  </w:style>
  <w:style w:type="character" w:customStyle="1" w:styleId="TitelZchn">
    <w:name w:val="Titel Zchn"/>
    <w:basedOn w:val="Absatz-Standardschriftart"/>
    <w:link w:val="Titel"/>
    <w:uiPriority w:val="10"/>
    <w:rsid w:val="007327A6"/>
    <w:rPr>
      <w:rFonts w:asciiTheme="majorHAnsi" w:eastAsiaTheme="majorEastAsia" w:hAnsiTheme="majorHAnsi" w:cstheme="majorBidi"/>
      <w:spacing w:val="5"/>
      <w:kern w:val="28"/>
      <w:sz w:val="52"/>
      <w:szCs w:val="52"/>
    </w:rPr>
  </w:style>
  <w:style w:type="character" w:customStyle="1" w:styleId="berschrift2Zchn">
    <w:name w:val="Überschrift 2 Zchn"/>
    <w:basedOn w:val="Absatz-Standardschriftart"/>
    <w:link w:val="berschrift2"/>
    <w:uiPriority w:val="9"/>
    <w:rsid w:val="001E069F"/>
    <w:rPr>
      <w:rFonts w:asciiTheme="majorHAnsi" w:eastAsiaTheme="majorEastAsia" w:hAnsiTheme="majorHAnsi" w:cstheme="majorBidi"/>
      <w:b/>
      <w:bCs/>
      <w:sz w:val="26"/>
      <w:szCs w:val="26"/>
      <w:lang w:val="de-DE"/>
    </w:rPr>
  </w:style>
  <w:style w:type="character" w:customStyle="1" w:styleId="berschrift1Zchn">
    <w:name w:val="Überschrift 1 Zchn"/>
    <w:basedOn w:val="Absatz-Standardschriftart"/>
    <w:link w:val="berschrift1"/>
    <w:uiPriority w:val="9"/>
    <w:rsid w:val="00802882"/>
    <w:rPr>
      <w:rFonts w:asciiTheme="majorHAnsi" w:eastAsiaTheme="majorEastAsia" w:hAnsiTheme="majorHAnsi" w:cstheme="majorBidi"/>
      <w:b/>
      <w:bCs/>
      <w:sz w:val="28"/>
      <w:szCs w:val="28"/>
      <w:lang w:val="de-DE"/>
    </w:rPr>
  </w:style>
  <w:style w:type="character" w:styleId="IntensiverVerweis">
    <w:name w:val="Intense Reference"/>
    <w:basedOn w:val="Absatz-Standardschriftart"/>
    <w:uiPriority w:val="32"/>
    <w:rsid w:val="007327A6"/>
    <w:rPr>
      <w:b/>
      <w:bCs/>
      <w:smallCaps/>
      <w:color w:val="auto"/>
      <w:spacing w:val="5"/>
      <w:u w:val="single"/>
    </w:rPr>
  </w:style>
  <w:style w:type="paragraph" w:customStyle="1" w:styleId="Contact">
    <w:name w:val="Contact"/>
    <w:basedOn w:val="Standard"/>
    <w:rsid w:val="00A73965"/>
    <w:pPr>
      <w:tabs>
        <w:tab w:val="left" w:pos="868"/>
      </w:tabs>
      <w:spacing w:line="240" w:lineRule="exact"/>
    </w:pPr>
    <w:rPr>
      <w:rFonts w:ascii="E+H Serif" w:hAnsi="E+H Serif"/>
      <w:sz w:val="19"/>
    </w:rPr>
  </w:style>
  <w:style w:type="paragraph" w:customStyle="1" w:styleId="ContactBold">
    <w:name w:val="Contact Bold"/>
    <w:basedOn w:val="Contact"/>
    <w:next w:val="Contact"/>
    <w:rsid w:val="00C31DBE"/>
    <w:rPr>
      <w:b/>
    </w:rPr>
  </w:style>
  <w:style w:type="paragraph" w:customStyle="1" w:styleId="SenderAddress">
    <w:name w:val="Sender Address"/>
    <w:basedOn w:val="Standard"/>
    <w:rsid w:val="00A73965"/>
    <w:pPr>
      <w:spacing w:line="170" w:lineRule="exact"/>
    </w:pPr>
    <w:rPr>
      <w:rFonts w:ascii="E+H Serif" w:hAnsi="E+H Serif"/>
      <w:sz w:val="13"/>
    </w:rPr>
  </w:style>
  <w:style w:type="paragraph" w:customStyle="1" w:styleId="FooterText">
    <w:name w:val="Footer Text"/>
    <w:basedOn w:val="Fuzeile"/>
    <w:rsid w:val="00941D94"/>
    <w:pPr>
      <w:spacing w:line="170" w:lineRule="exact"/>
    </w:pPr>
    <w:rPr>
      <w:rFonts w:ascii="E+H Serif" w:hAnsi="E+H Serif"/>
      <w:sz w:val="13"/>
    </w:rPr>
  </w:style>
  <w:style w:type="paragraph" w:customStyle="1" w:styleId="FooterTextBold">
    <w:name w:val="Footer Text Bold"/>
    <w:basedOn w:val="FooterText"/>
    <w:rsid w:val="00643F00"/>
    <w:rPr>
      <w:b/>
    </w:rPr>
  </w:style>
  <w:style w:type="paragraph" w:styleId="Listenabsatz">
    <w:name w:val="List Paragraph"/>
    <w:basedOn w:val="Standard"/>
    <w:uiPriority w:val="34"/>
    <w:rsid w:val="00FE371C"/>
    <w:pPr>
      <w:ind w:left="720"/>
      <w:contextualSpacing/>
    </w:pPr>
  </w:style>
  <w:style w:type="paragraph" w:styleId="Aufzhlungszeichen">
    <w:name w:val="List Bullet"/>
    <w:basedOn w:val="Standard"/>
    <w:uiPriority w:val="99"/>
    <w:unhideWhenUsed/>
    <w:rsid w:val="00785611"/>
    <w:pPr>
      <w:numPr>
        <w:numId w:val="8"/>
      </w:numPr>
      <w:contextualSpacing/>
    </w:pPr>
    <w:rPr>
      <w:lang w:val="en-US"/>
    </w:rPr>
  </w:style>
  <w:style w:type="paragraph" w:styleId="Aufzhlungszeichen2">
    <w:name w:val="List Bullet 2"/>
    <w:basedOn w:val="Standard"/>
    <w:uiPriority w:val="99"/>
    <w:unhideWhenUsed/>
    <w:rsid w:val="00785611"/>
    <w:pPr>
      <w:numPr>
        <w:numId w:val="9"/>
      </w:numPr>
      <w:contextualSpacing/>
    </w:pPr>
  </w:style>
  <w:style w:type="paragraph" w:styleId="Aufzhlungszeichen3">
    <w:name w:val="List Bullet 3"/>
    <w:basedOn w:val="Standard"/>
    <w:uiPriority w:val="99"/>
    <w:unhideWhenUsed/>
    <w:rsid w:val="00785611"/>
    <w:pPr>
      <w:numPr>
        <w:numId w:val="10"/>
      </w:numPr>
      <w:contextualSpacing/>
    </w:pPr>
  </w:style>
  <w:style w:type="table" w:customStyle="1" w:styleId="TableGrid1">
    <w:name w:val="Table Grid1"/>
    <w:basedOn w:val="NormaleTabelle"/>
    <w:next w:val="Tabellenraster"/>
    <w:uiPriority w:val="59"/>
    <w:rsid w:val="000D1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ufzhlungszeichen4">
    <w:name w:val="List Bullet 4"/>
    <w:basedOn w:val="Standard"/>
    <w:uiPriority w:val="99"/>
    <w:unhideWhenUsed/>
    <w:rsid w:val="00785611"/>
    <w:pPr>
      <w:numPr>
        <w:numId w:val="12"/>
      </w:numPr>
      <w:contextualSpacing/>
    </w:pPr>
  </w:style>
  <w:style w:type="paragraph" w:styleId="Aufzhlungszeichen5">
    <w:name w:val="List Bullet 5"/>
    <w:basedOn w:val="Standard"/>
    <w:uiPriority w:val="99"/>
    <w:unhideWhenUsed/>
    <w:rsid w:val="00785611"/>
    <w:pPr>
      <w:numPr>
        <w:numId w:val="14"/>
      </w:numPr>
      <w:tabs>
        <w:tab w:val="left" w:pos="1418"/>
      </w:tabs>
      <w:contextualSpacing/>
    </w:pPr>
  </w:style>
  <w:style w:type="character" w:customStyle="1" w:styleId="berschrift3Zchn">
    <w:name w:val="Überschrift 3 Zchn"/>
    <w:basedOn w:val="Absatz-Standardschriftart"/>
    <w:link w:val="berschrift3"/>
    <w:uiPriority w:val="9"/>
    <w:rsid w:val="00D22087"/>
    <w:rPr>
      <w:rFonts w:asciiTheme="majorHAnsi" w:eastAsiaTheme="majorEastAsia" w:hAnsiTheme="majorHAnsi" w:cstheme="majorBidi"/>
      <w:b/>
      <w:bCs/>
      <w:lang w:val="de-DE"/>
    </w:rPr>
  </w:style>
  <w:style w:type="character" w:customStyle="1" w:styleId="berschrift4Zchn">
    <w:name w:val="Überschrift 4 Zchn"/>
    <w:basedOn w:val="Absatz-Standardschriftart"/>
    <w:link w:val="berschrift4"/>
    <w:uiPriority w:val="9"/>
    <w:rsid w:val="00D22087"/>
    <w:rPr>
      <w:rFonts w:asciiTheme="majorHAnsi" w:eastAsiaTheme="majorEastAsia" w:hAnsiTheme="majorHAnsi" w:cstheme="majorBidi"/>
      <w:b/>
      <w:bCs/>
      <w:iCs/>
      <w:lang w:val="de-DE"/>
    </w:rPr>
  </w:style>
  <w:style w:type="character" w:customStyle="1" w:styleId="berschrift5Zchn">
    <w:name w:val="Überschrift 5 Zchn"/>
    <w:basedOn w:val="Absatz-Standardschriftart"/>
    <w:link w:val="berschrift5"/>
    <w:uiPriority w:val="9"/>
    <w:rsid w:val="00D22087"/>
    <w:rPr>
      <w:rFonts w:asciiTheme="majorHAnsi" w:eastAsiaTheme="majorEastAsia" w:hAnsiTheme="majorHAnsi" w:cstheme="majorBidi"/>
      <w:b/>
      <w:lang w:val="de-DE"/>
    </w:rPr>
  </w:style>
  <w:style w:type="character" w:customStyle="1" w:styleId="berschrift6Zchn">
    <w:name w:val="Überschrift 6 Zchn"/>
    <w:basedOn w:val="Absatz-Standardschriftart"/>
    <w:link w:val="berschrift6"/>
    <w:uiPriority w:val="9"/>
    <w:rsid w:val="00D22087"/>
    <w:rPr>
      <w:rFonts w:asciiTheme="majorHAnsi" w:eastAsiaTheme="majorEastAsia" w:hAnsiTheme="majorHAnsi" w:cstheme="majorBidi"/>
      <w:b/>
      <w:iCs/>
      <w:lang w:val="de-DE"/>
    </w:rPr>
  </w:style>
  <w:style w:type="paragraph" w:styleId="Beschriftung">
    <w:name w:val="caption"/>
    <w:basedOn w:val="Standard"/>
    <w:next w:val="Standard"/>
    <w:uiPriority w:val="35"/>
    <w:semiHidden/>
    <w:unhideWhenUsed/>
    <w:qFormat/>
    <w:rsid w:val="00527E27"/>
    <w:pPr>
      <w:spacing w:after="200" w:line="240" w:lineRule="auto"/>
    </w:pPr>
    <w:rPr>
      <w:b/>
      <w:bCs/>
      <w:sz w:val="18"/>
      <w:szCs w:val="18"/>
    </w:rPr>
  </w:style>
  <w:style w:type="paragraph" w:styleId="Inhaltsverzeichnisberschrift">
    <w:name w:val="TOC Heading"/>
    <w:basedOn w:val="Standard"/>
    <w:next w:val="Standard"/>
    <w:autoRedefine/>
    <w:uiPriority w:val="39"/>
    <w:unhideWhenUsed/>
    <w:qFormat/>
    <w:rsid w:val="003A178D"/>
    <w:rPr>
      <w:b/>
      <w:sz w:val="28"/>
    </w:rPr>
  </w:style>
  <w:style w:type="paragraph" w:styleId="Blocktext">
    <w:name w:val="Block Text"/>
    <w:basedOn w:val="Standard"/>
    <w:uiPriority w:val="99"/>
    <w:semiHidden/>
    <w:unhideWhenUsed/>
    <w:rsid w:val="00527E27"/>
    <w:pPr>
      <w:pBdr>
        <w:top w:val="single" w:sz="2" w:space="10" w:color="AED3E7" w:themeColor="accent1"/>
        <w:left w:val="single" w:sz="2" w:space="10" w:color="AED3E7" w:themeColor="accent1"/>
        <w:bottom w:val="single" w:sz="2" w:space="10" w:color="AED3E7" w:themeColor="accent1"/>
        <w:right w:val="single" w:sz="2" w:space="10" w:color="AED3E7" w:themeColor="accent1"/>
      </w:pBdr>
      <w:ind w:left="1152" w:right="1152"/>
    </w:pPr>
    <w:rPr>
      <w:rFonts w:eastAsiaTheme="minorEastAsia"/>
      <w:i/>
      <w:iCs/>
    </w:rPr>
  </w:style>
  <w:style w:type="paragraph" w:customStyle="1" w:styleId="1Headline">
    <w:name w:val="1 Headline"/>
    <w:basedOn w:val="Standard"/>
    <w:autoRedefine/>
    <w:qFormat/>
    <w:rsid w:val="00D22087"/>
    <w:pPr>
      <w:spacing w:after="480"/>
    </w:pPr>
    <w:rPr>
      <w:rFonts w:ascii="E+H Serif" w:hAnsi="E+H Serif"/>
      <w:b/>
      <w:color w:val="A8005C"/>
      <w:sz w:val="48"/>
      <w:szCs w:val="48"/>
    </w:rPr>
  </w:style>
  <w:style w:type="paragraph" w:customStyle="1" w:styleId="2Subheadline">
    <w:name w:val="2 Subheadline"/>
    <w:basedOn w:val="Standard"/>
    <w:autoRedefine/>
    <w:qFormat/>
    <w:rsid w:val="00D22087"/>
    <w:rPr>
      <w:rFonts w:ascii="E+H Serif" w:hAnsi="E+H Serif"/>
      <w:color w:val="506671"/>
      <w:sz w:val="28"/>
      <w:szCs w:val="28"/>
    </w:rPr>
  </w:style>
  <w:style w:type="paragraph" w:customStyle="1" w:styleId="3Lead">
    <w:name w:val="3 Lead"/>
    <w:basedOn w:val="Textkrper"/>
    <w:autoRedefine/>
    <w:qFormat/>
    <w:rsid w:val="00D22087"/>
    <w:rPr>
      <w:b/>
      <w:lang w:val="de-DE"/>
    </w:rPr>
  </w:style>
  <w:style w:type="paragraph" w:customStyle="1" w:styleId="5BodyTextBold">
    <w:name w:val="5 Body Text Bold"/>
    <w:basedOn w:val="Standard"/>
    <w:autoRedefine/>
    <w:qFormat/>
    <w:rsid w:val="00606EA9"/>
    <w:pPr>
      <w:spacing w:after="0"/>
      <w:contextualSpacing/>
    </w:pPr>
    <w:rPr>
      <w:rFonts w:ascii="E+H Serif" w:hAnsi="E+H Serif"/>
      <w:b/>
    </w:rPr>
  </w:style>
  <w:style w:type="paragraph" w:customStyle="1" w:styleId="6BodyTextBullets">
    <w:name w:val="6 Body Text Bullets"/>
    <w:basedOn w:val="Listenabsatz"/>
    <w:autoRedefine/>
    <w:qFormat/>
    <w:rsid w:val="00D22087"/>
    <w:pPr>
      <w:numPr>
        <w:numId w:val="15"/>
      </w:numPr>
      <w:ind w:left="284" w:hanging="284"/>
    </w:pPr>
    <w:rPr>
      <w:rFonts w:ascii="E+H Serif" w:hAnsi="E+H Serif"/>
    </w:rPr>
  </w:style>
  <w:style w:type="paragraph" w:customStyle="1" w:styleId="7BodyTextNumbering">
    <w:name w:val="7 Body Text Numbering"/>
    <w:basedOn w:val="Listenabsatz"/>
    <w:autoRedefine/>
    <w:qFormat/>
    <w:rsid w:val="00D22087"/>
    <w:pPr>
      <w:numPr>
        <w:numId w:val="16"/>
      </w:numPr>
      <w:ind w:left="284" w:hanging="284"/>
    </w:pPr>
    <w:rPr>
      <w:rFonts w:ascii="E+H Serif" w:hAnsi="E+H Serif"/>
    </w:rPr>
  </w:style>
  <w:style w:type="character" w:styleId="Fett">
    <w:name w:val="Strong"/>
    <w:basedOn w:val="Absatz-Standardschriftart"/>
    <w:uiPriority w:val="22"/>
    <w:rsid w:val="006E0269"/>
    <w:rPr>
      <w:b/>
      <w:bCs/>
    </w:rPr>
  </w:style>
  <w:style w:type="character" w:customStyle="1" w:styleId="berschrift7Zchn">
    <w:name w:val="Überschrift 7 Zchn"/>
    <w:basedOn w:val="Absatz-Standardschriftart"/>
    <w:link w:val="berschrift7"/>
    <w:uiPriority w:val="9"/>
    <w:rsid w:val="00D22087"/>
    <w:rPr>
      <w:rFonts w:asciiTheme="majorHAnsi" w:eastAsiaTheme="majorEastAsia" w:hAnsiTheme="majorHAnsi" w:cstheme="majorBidi"/>
      <w:b/>
      <w:iCs/>
      <w:lang w:val="de-DE"/>
    </w:rPr>
  </w:style>
  <w:style w:type="character" w:customStyle="1" w:styleId="berschrift8Zchn">
    <w:name w:val="Überschrift 8 Zchn"/>
    <w:basedOn w:val="Absatz-Standardschriftart"/>
    <w:link w:val="berschrift8"/>
    <w:uiPriority w:val="9"/>
    <w:semiHidden/>
    <w:rsid w:val="001E069F"/>
    <w:rPr>
      <w:rFonts w:asciiTheme="majorHAnsi" w:eastAsiaTheme="majorEastAsia" w:hAnsiTheme="majorHAnsi" w:cstheme="majorBidi"/>
      <w:color w:val="404040" w:themeColor="text1" w:themeTint="BF"/>
      <w:sz w:val="20"/>
      <w:szCs w:val="20"/>
      <w:lang w:val="de-DE"/>
    </w:rPr>
  </w:style>
  <w:style w:type="character" w:customStyle="1" w:styleId="berschrift9Zchn">
    <w:name w:val="Überschrift 9 Zchn"/>
    <w:basedOn w:val="Absatz-Standardschriftart"/>
    <w:link w:val="berschrift9"/>
    <w:uiPriority w:val="9"/>
    <w:semiHidden/>
    <w:rsid w:val="001E069F"/>
    <w:rPr>
      <w:rFonts w:asciiTheme="majorHAnsi" w:eastAsiaTheme="majorEastAsia" w:hAnsiTheme="majorHAnsi" w:cstheme="majorBidi"/>
      <w:i/>
      <w:iCs/>
      <w:color w:val="404040" w:themeColor="text1" w:themeTint="BF"/>
      <w:sz w:val="20"/>
      <w:szCs w:val="20"/>
      <w:lang w:val="de-DE"/>
    </w:rPr>
  </w:style>
  <w:style w:type="paragraph" w:styleId="Verzeichnis1">
    <w:name w:val="toc 1"/>
    <w:basedOn w:val="Standard"/>
    <w:next w:val="Standard"/>
    <w:autoRedefine/>
    <w:uiPriority w:val="39"/>
    <w:unhideWhenUsed/>
    <w:qFormat/>
    <w:rsid w:val="00802882"/>
    <w:pPr>
      <w:spacing w:after="100"/>
    </w:pPr>
    <w:rPr>
      <w:b/>
    </w:rPr>
  </w:style>
  <w:style w:type="paragraph" w:styleId="Verzeichnis2">
    <w:name w:val="toc 2"/>
    <w:basedOn w:val="Standard"/>
    <w:next w:val="Standard"/>
    <w:autoRedefine/>
    <w:uiPriority w:val="39"/>
    <w:unhideWhenUsed/>
    <w:qFormat/>
    <w:rsid w:val="00802882"/>
    <w:pPr>
      <w:spacing w:after="100"/>
      <w:ind w:left="220"/>
    </w:pPr>
  </w:style>
  <w:style w:type="paragraph" w:styleId="Verzeichnis3">
    <w:name w:val="toc 3"/>
    <w:basedOn w:val="Standard"/>
    <w:next w:val="Standard"/>
    <w:autoRedefine/>
    <w:uiPriority w:val="39"/>
    <w:unhideWhenUsed/>
    <w:qFormat/>
    <w:rsid w:val="00802882"/>
    <w:pPr>
      <w:spacing w:after="100"/>
      <w:ind w:left="440"/>
    </w:pPr>
  </w:style>
  <w:style w:type="character" w:styleId="Hyperlink">
    <w:name w:val="Hyperlink"/>
    <w:basedOn w:val="Absatz-Standardschriftart"/>
    <w:uiPriority w:val="99"/>
    <w:unhideWhenUsed/>
    <w:rsid w:val="00802882"/>
    <w:rPr>
      <w:color w:val="009EE3" w:themeColor="hyperlink"/>
      <w:u w:val="single"/>
    </w:rPr>
  </w:style>
  <w:style w:type="paragraph" w:styleId="Verzeichnis4">
    <w:name w:val="toc 4"/>
    <w:basedOn w:val="Standard"/>
    <w:next w:val="Standard"/>
    <w:autoRedefine/>
    <w:uiPriority w:val="39"/>
    <w:unhideWhenUsed/>
    <w:qFormat/>
    <w:rsid w:val="00802882"/>
    <w:pPr>
      <w:spacing w:after="100"/>
      <w:ind w:left="660"/>
    </w:pPr>
  </w:style>
  <w:style w:type="paragraph" w:styleId="Verzeichnis5">
    <w:name w:val="toc 5"/>
    <w:basedOn w:val="Standard"/>
    <w:next w:val="Standard"/>
    <w:autoRedefine/>
    <w:uiPriority w:val="39"/>
    <w:unhideWhenUsed/>
    <w:qFormat/>
    <w:rsid w:val="00802882"/>
    <w:pPr>
      <w:spacing w:after="100"/>
      <w:ind w:left="880"/>
    </w:pPr>
  </w:style>
  <w:style w:type="character" w:styleId="Kommentarzeichen">
    <w:name w:val="annotation reference"/>
    <w:basedOn w:val="Absatz-Standardschriftart"/>
    <w:uiPriority w:val="99"/>
    <w:semiHidden/>
    <w:unhideWhenUsed/>
    <w:rsid w:val="007023C2"/>
    <w:rPr>
      <w:sz w:val="16"/>
      <w:szCs w:val="16"/>
    </w:rPr>
  </w:style>
  <w:style w:type="paragraph" w:styleId="Kommentartext">
    <w:name w:val="annotation text"/>
    <w:basedOn w:val="Standard"/>
    <w:link w:val="KommentartextZchn"/>
    <w:uiPriority w:val="99"/>
    <w:semiHidden/>
    <w:unhideWhenUsed/>
    <w:rsid w:val="007023C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023C2"/>
    <w:rPr>
      <w:sz w:val="20"/>
      <w:szCs w:val="20"/>
      <w:lang w:val="de-DE"/>
    </w:rPr>
  </w:style>
  <w:style w:type="paragraph" w:styleId="Kommentarthema">
    <w:name w:val="annotation subject"/>
    <w:basedOn w:val="Kommentartext"/>
    <w:next w:val="Kommentartext"/>
    <w:link w:val="KommentarthemaZchn"/>
    <w:uiPriority w:val="99"/>
    <w:semiHidden/>
    <w:unhideWhenUsed/>
    <w:rsid w:val="007023C2"/>
    <w:rPr>
      <w:b/>
      <w:bCs/>
    </w:rPr>
  </w:style>
  <w:style w:type="character" w:customStyle="1" w:styleId="KommentarthemaZchn">
    <w:name w:val="Kommentarthema Zchn"/>
    <w:basedOn w:val="KommentartextZchn"/>
    <w:link w:val="Kommentarthema"/>
    <w:uiPriority w:val="99"/>
    <w:semiHidden/>
    <w:rsid w:val="007023C2"/>
    <w:rPr>
      <w:b/>
      <w:bCs/>
      <w:sz w:val="20"/>
      <w:szCs w:val="20"/>
      <w:lang w:val="de-DE"/>
    </w:rPr>
  </w:style>
  <w:style w:type="paragraph" w:styleId="berarbeitung">
    <w:name w:val="Revision"/>
    <w:hidden/>
    <w:uiPriority w:val="99"/>
    <w:semiHidden/>
    <w:rsid w:val="00F9777F"/>
    <w:pPr>
      <w:spacing w:after="0" w:line="240" w:lineRule="auto"/>
    </w:pPr>
    <w:rPr>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9719242">
      <w:bodyDiv w:val="1"/>
      <w:marLeft w:val="0"/>
      <w:marRight w:val="0"/>
      <w:marTop w:val="0"/>
      <w:marBottom w:val="0"/>
      <w:divBdr>
        <w:top w:val="none" w:sz="0" w:space="0" w:color="auto"/>
        <w:left w:val="none" w:sz="0" w:space="0" w:color="auto"/>
        <w:bottom w:val="none" w:sz="0" w:space="0" w:color="auto"/>
        <w:right w:val="none" w:sz="0" w:space="0" w:color="auto"/>
      </w:divBdr>
    </w:div>
    <w:div w:id="2135051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23" Type="http://schemas.microsoft.com/office/2018/08/relationships/commentsExtensible" Target="commentsExtensible.xml"/><Relationship Id="rId10" Type="http://schemas.openxmlformats.org/officeDocument/2006/relationships/image" Target="media/image3.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1" Type="http://schemas.openxmlformats.org/officeDocument/2006/relationships/image" Target="media/image8.e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Brandic\Word\Templates\Base.dotx" TargetMode="External"/></Relationships>
</file>

<file path=word/theme/theme1.xml><?xml version="1.0" encoding="utf-8"?>
<a:theme xmlns:a="http://schemas.openxmlformats.org/drawingml/2006/main" name="Office Theme">
  <a:themeElements>
    <a:clrScheme name="Endress+Hauser">
      <a:dk1>
        <a:srgbClr val="000000"/>
      </a:dk1>
      <a:lt1>
        <a:srgbClr val="FFFFFF"/>
      </a:lt1>
      <a:dk2>
        <a:srgbClr val="5A707A"/>
      </a:dk2>
      <a:lt2>
        <a:srgbClr val="009EE3"/>
      </a:lt2>
      <a:accent1>
        <a:srgbClr val="AED3E7"/>
      </a:accent1>
      <a:accent2>
        <a:srgbClr val="007CAA"/>
      </a:accent2>
      <a:accent3>
        <a:srgbClr val="00597A"/>
      </a:accent3>
      <a:accent4>
        <a:srgbClr val="009EE3"/>
      </a:accent4>
      <a:accent5>
        <a:srgbClr val="7B0040"/>
      </a:accent5>
      <a:accent6>
        <a:srgbClr val="5A707A"/>
      </a:accent6>
      <a:hlink>
        <a:srgbClr val="009EE3"/>
      </a:hlink>
      <a:folHlink>
        <a:srgbClr val="9EAFB8"/>
      </a:folHlink>
    </a:clrScheme>
    <a:fontScheme name="E+H Serif">
      <a:majorFont>
        <a:latin typeface="E+H Serif"/>
        <a:ea typeface=""/>
        <a:cs typeface=""/>
      </a:majorFont>
      <a:minorFont>
        <a:latin typeface="E+H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047F5F-2D97-433E-8851-BF3A5A0BCF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Base.dotx</Template>
  <TotalTime>0</TotalTime>
  <Pages>7</Pages>
  <Words>1313</Words>
  <Characters>8278</Characters>
  <Application>Microsoft Office Word</Application>
  <DocSecurity>0</DocSecurity>
  <Lines>68</Lines>
  <Paragraphs>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9572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Florian Kraftschik</dc:creator>
  <cp:lastModifiedBy>Kristina Rodriguez</cp:lastModifiedBy>
  <cp:revision>4</cp:revision>
  <cp:lastPrinted>2012-05-15T08:44:00Z</cp:lastPrinted>
  <dcterms:created xsi:type="dcterms:W3CDTF">2020-05-09T19:45:00Z</dcterms:created>
  <dcterms:modified xsi:type="dcterms:W3CDTF">2020-05-11T15:05:00Z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ID">
    <vt:i4>1031</vt:i4>
  </property>
  <property fmtid="{D5CDD505-2E9C-101B-9397-08002B2CF9AE}" pid="3" name="DocTypeID">
    <vt:i4>0</vt:i4>
  </property>
  <property fmtid="{D5CDD505-2E9C-101B-9397-08002B2CF9AE}" pid="4" name="EntityID">
    <vt:i4>30</vt:i4>
  </property>
  <property fmtid="{D5CDD505-2E9C-101B-9397-08002B2CF9AE}" pid="5" name="MSIP_Label_2988f0a4-524a-45f2-829d-417725fa4957_Enabled">
    <vt:lpwstr>True</vt:lpwstr>
  </property>
  <property fmtid="{D5CDD505-2E9C-101B-9397-08002B2CF9AE}" pid="6" name="MSIP_Label_2988f0a4-524a-45f2-829d-417725fa4957_SiteId">
    <vt:lpwstr>52daf2a9-3b73-4da4-ac6a-3f81adc92b7e</vt:lpwstr>
  </property>
  <property fmtid="{D5CDD505-2E9C-101B-9397-08002B2CF9AE}" pid="7" name="MSIP_Label_2988f0a4-524a-45f2-829d-417725fa4957_Owner">
    <vt:lpwstr>florian.kraftschik@endress.com</vt:lpwstr>
  </property>
  <property fmtid="{D5CDD505-2E9C-101B-9397-08002B2CF9AE}" pid="8" name="MSIP_Label_2988f0a4-524a-45f2-829d-417725fa4957_SetDate">
    <vt:lpwstr>2020-04-29T15:11:03.5122083Z</vt:lpwstr>
  </property>
  <property fmtid="{D5CDD505-2E9C-101B-9397-08002B2CF9AE}" pid="9" name="MSIP_Label_2988f0a4-524a-45f2-829d-417725fa4957_Name">
    <vt:lpwstr>Not Protected</vt:lpwstr>
  </property>
  <property fmtid="{D5CDD505-2E9C-101B-9397-08002B2CF9AE}" pid="10" name="MSIP_Label_2988f0a4-524a-45f2-829d-417725fa4957_Application">
    <vt:lpwstr>Microsoft Azure Information Protection</vt:lpwstr>
  </property>
  <property fmtid="{D5CDD505-2E9C-101B-9397-08002B2CF9AE}" pid="11" name="MSIP_Label_2988f0a4-524a-45f2-829d-417725fa4957_ActionId">
    <vt:lpwstr>2645ddce-55c2-4c33-8ac0-e82749f8a3bd</vt:lpwstr>
  </property>
  <property fmtid="{D5CDD505-2E9C-101B-9397-08002B2CF9AE}" pid="12" name="MSIP_Label_2988f0a4-524a-45f2-829d-417725fa4957_Extended_MSFT_Method">
    <vt:lpwstr>Automatic</vt:lpwstr>
  </property>
  <property fmtid="{D5CDD505-2E9C-101B-9397-08002B2CF9AE}" pid="13" name="Sensitivity">
    <vt:lpwstr>Not Protected</vt:lpwstr>
  </property>
</Properties>
</file>